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exact"/>
        <w:jc w:val="center"/>
        <w:rPr>
          <w:b/>
          <w:szCs w:val="21"/>
        </w:rPr>
      </w:pPr>
    </w:p>
    <w:p>
      <w:pPr>
        <w:spacing w:line="360" w:lineRule="auto"/>
        <w:ind w:right="-523" w:rightChars="-249" w:firstLine="10" w:firstLineChars="5"/>
        <w:rPr>
          <w:b/>
          <w:sz w:val="52"/>
        </w:rPr>
      </w:pPr>
      <w:r>
        <w:drawing>
          <wp:inline distT="0" distB="0" distL="114300" distR="114300">
            <wp:extent cx="3420745" cy="751840"/>
            <wp:effectExtent l="0" t="0" r="8255" b="10160"/>
            <wp:docPr id="4" name="图片 1" descr="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标志"/>
                    <pic:cNvPicPr>
                      <a:picLocks noChangeAspect="1"/>
                    </pic:cNvPicPr>
                  </pic:nvPicPr>
                  <pic:blipFill>
                    <a:blip r:embed="rId9"/>
                    <a:srcRect l="3616" t="6909" r="4263" b="7132"/>
                    <a:stretch>
                      <a:fillRect/>
                    </a:stretch>
                  </pic:blipFill>
                  <pic:spPr>
                    <a:xfrm>
                      <a:off x="0" y="0"/>
                      <a:ext cx="3420745" cy="751840"/>
                    </a:xfrm>
                    <a:prstGeom prst="rect">
                      <a:avLst/>
                    </a:prstGeom>
                    <a:noFill/>
                    <a:ln>
                      <a:noFill/>
                    </a:ln>
                  </pic:spPr>
                </pic:pic>
              </a:graphicData>
            </a:graphic>
          </wp:inline>
        </w:drawing>
      </w:r>
    </w:p>
    <w:p>
      <w:pPr>
        <w:spacing w:line="360" w:lineRule="auto"/>
        <w:ind w:firstLine="26" w:firstLineChars="5"/>
        <w:rPr>
          <w:rFonts w:ascii="宋体" w:hAnsi="宋体"/>
          <w:b/>
          <w:sz w:val="52"/>
        </w:rPr>
      </w:pPr>
    </w:p>
    <w:p>
      <w:pPr>
        <w:spacing w:line="360" w:lineRule="auto"/>
        <w:ind w:firstLine="26" w:firstLineChars="5"/>
        <w:rPr>
          <w:rFonts w:ascii="宋体" w:hAnsi="宋体"/>
          <w:b/>
          <w:sz w:val="52"/>
        </w:rPr>
      </w:pPr>
    </w:p>
    <w:p>
      <w:pPr>
        <w:spacing w:line="480" w:lineRule="auto"/>
        <w:jc w:val="center"/>
        <w:rPr>
          <w:rFonts w:ascii="宋体" w:hAnsi="宋体"/>
          <w:b/>
          <w:color w:val="000000"/>
          <w:sz w:val="48"/>
          <w:szCs w:val="48"/>
        </w:rPr>
      </w:pPr>
      <w:r>
        <w:rPr>
          <w:rFonts w:hint="eastAsia" w:ascii="宋体" w:hAnsi="宋体"/>
          <w:b/>
          <w:color w:val="000000"/>
          <w:sz w:val="48"/>
          <w:szCs w:val="48"/>
        </w:rPr>
        <w:t>内蒙古电力(集团)有限责任公司</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w:t>
      </w:r>
    </w:p>
    <w:p>
      <w:pPr>
        <w:spacing w:line="480" w:lineRule="auto"/>
        <w:jc w:val="center"/>
        <w:rPr>
          <w:rFonts w:ascii="宋体" w:hAnsi="宋体"/>
          <w:b/>
          <w:color w:val="000000"/>
          <w:sz w:val="48"/>
          <w:szCs w:val="48"/>
        </w:rPr>
      </w:pPr>
      <w:r>
        <w:rPr>
          <w:rFonts w:hint="eastAsia" w:ascii="宋体" w:hAnsi="宋体"/>
          <w:b/>
          <w:color w:val="000000"/>
          <w:sz w:val="48"/>
          <w:szCs w:val="48"/>
        </w:rPr>
        <w:t>2022年信息技改项目</w:t>
      </w:r>
    </w:p>
    <w:p>
      <w:pPr>
        <w:adjustRightInd w:val="0"/>
        <w:snapToGrid w:val="0"/>
        <w:spacing w:line="360" w:lineRule="auto"/>
        <w:jc w:val="center"/>
        <w:rPr>
          <w:rFonts w:ascii="宋体" w:hAnsi="宋体"/>
          <w:b/>
          <w:color w:val="000000"/>
          <w:sz w:val="48"/>
          <w:szCs w:val="48"/>
        </w:rPr>
      </w:pPr>
      <w:r>
        <w:rPr>
          <w:rFonts w:hint="eastAsia" w:ascii="宋体" w:hAnsi="宋体"/>
          <w:b/>
          <w:color w:val="000000"/>
          <w:sz w:val="48"/>
          <w:szCs w:val="48"/>
        </w:rPr>
        <w:t>阿拉善供电公司阿右旗供电分公司信息机房双设备改造</w:t>
      </w:r>
    </w:p>
    <w:p>
      <w:pPr>
        <w:adjustRightInd w:val="0"/>
        <w:snapToGrid w:val="0"/>
        <w:spacing w:line="360" w:lineRule="auto"/>
        <w:jc w:val="center"/>
        <w:rPr>
          <w:rFonts w:ascii="宋体" w:hAnsi="宋体"/>
          <w:b/>
          <w:color w:val="000000"/>
          <w:sz w:val="48"/>
          <w:szCs w:val="48"/>
        </w:rPr>
      </w:pPr>
      <w:r>
        <w:rPr>
          <w:rFonts w:hint="eastAsia" w:ascii="宋体" w:hAnsi="宋体"/>
          <w:b/>
          <w:color w:val="000000"/>
          <w:sz w:val="48"/>
          <w:szCs w:val="48"/>
        </w:rPr>
        <w:t>交换机通用技术规范</w:t>
      </w:r>
    </w:p>
    <w:p>
      <w:pPr>
        <w:adjustRightInd w:val="0"/>
        <w:snapToGrid w:val="0"/>
        <w:spacing w:line="360" w:lineRule="auto"/>
        <w:jc w:val="center"/>
        <w:rPr>
          <w:rFonts w:hAnsi="宋体"/>
          <w:b/>
          <w:sz w:val="44"/>
          <w:lang w:val="zh-CN"/>
        </w:rPr>
      </w:pPr>
    </w:p>
    <w:p>
      <w:pPr>
        <w:spacing w:line="360" w:lineRule="auto"/>
        <w:ind w:firstLine="22" w:firstLineChars="5"/>
        <w:rPr>
          <w:b/>
          <w:sz w:val="44"/>
        </w:rPr>
      </w:pPr>
    </w:p>
    <w:p>
      <w:pPr>
        <w:ind w:firstLine="24" w:firstLineChars="5"/>
        <w:jc w:val="center"/>
        <w:rPr>
          <w:b/>
          <w:sz w:val="48"/>
        </w:rPr>
      </w:pPr>
    </w:p>
    <w:p>
      <w:pPr>
        <w:ind w:firstLine="22" w:firstLineChars="4"/>
        <w:jc w:val="center"/>
        <w:rPr>
          <w:rFonts w:eastAsia="方正小标宋简体"/>
          <w:spacing w:val="40"/>
          <w:sz w:val="48"/>
          <w:szCs w:val="48"/>
        </w:rPr>
      </w:pPr>
    </w:p>
    <w:p>
      <w:pPr>
        <w:spacing w:line="360" w:lineRule="auto"/>
        <w:ind w:firstLine="26" w:firstLineChars="5"/>
        <w:jc w:val="center"/>
        <w:rPr>
          <w:b/>
          <w:sz w:val="52"/>
        </w:rPr>
      </w:pPr>
    </w:p>
    <w:p>
      <w:pPr>
        <w:spacing w:line="360" w:lineRule="auto"/>
        <w:ind w:firstLine="18" w:firstLineChars="5"/>
        <w:jc w:val="center"/>
        <w:rPr>
          <w:rFonts w:hAnsi="宋体"/>
          <w:b/>
          <w:sz w:val="36"/>
          <w:szCs w:val="36"/>
        </w:rPr>
      </w:pPr>
      <w:r>
        <w:rPr>
          <w:rFonts w:hint="eastAsia" w:hAnsi="宋体"/>
          <w:b/>
          <w:sz w:val="36"/>
          <w:szCs w:val="36"/>
        </w:rPr>
        <w:t>内蒙古威信通电力通信工程设计有限公司</w:t>
      </w:r>
    </w:p>
    <w:p>
      <w:pPr>
        <w:spacing w:line="360" w:lineRule="auto"/>
        <w:ind w:firstLine="18" w:firstLineChars="5"/>
        <w:jc w:val="center"/>
        <w:rPr>
          <w:rFonts w:hAnsi="宋体"/>
          <w:b/>
          <w:sz w:val="36"/>
          <w:szCs w:val="36"/>
        </w:rPr>
      </w:pPr>
      <w:r>
        <w:rPr>
          <w:b/>
          <w:sz w:val="36"/>
          <w:szCs w:val="36"/>
        </w:rPr>
        <w:t>20</w:t>
      </w:r>
      <w:r>
        <w:rPr>
          <w:rFonts w:hint="eastAsia"/>
          <w:b/>
          <w:sz w:val="36"/>
          <w:szCs w:val="36"/>
        </w:rPr>
        <w:t>22</w:t>
      </w:r>
      <w:r>
        <w:rPr>
          <w:rFonts w:hint="eastAsia" w:hAnsi="宋体"/>
          <w:b/>
          <w:sz w:val="36"/>
          <w:szCs w:val="36"/>
        </w:rPr>
        <w:t>年</w:t>
      </w:r>
      <w:r>
        <w:rPr>
          <w:rFonts w:hint="eastAsia"/>
          <w:b/>
          <w:sz w:val="36"/>
          <w:szCs w:val="36"/>
        </w:rPr>
        <w:t>4</w:t>
      </w:r>
      <w:r>
        <w:rPr>
          <w:rFonts w:hint="eastAsia" w:hAnsi="宋体"/>
          <w:b/>
          <w:sz w:val="36"/>
          <w:szCs w:val="36"/>
        </w:rPr>
        <w:t>月</w:t>
      </w:r>
    </w:p>
    <w:p>
      <w:pPr>
        <w:rPr>
          <w:rFonts w:hAnsi="宋体"/>
          <w:b/>
          <w:sz w:val="36"/>
          <w:szCs w:val="36"/>
        </w:rPr>
      </w:pPr>
      <w:r>
        <w:rPr>
          <w:rFonts w:hint="eastAsia" w:hAnsi="宋体"/>
          <w:b/>
          <w:sz w:val="36"/>
          <w:szCs w:val="36"/>
        </w:rPr>
        <w:br w:type="page"/>
      </w:r>
    </w:p>
    <w:p>
      <w:pPr>
        <w:pStyle w:val="14"/>
        <w:snapToGrid w:val="0"/>
        <w:spacing w:line="360" w:lineRule="auto"/>
        <w:jc w:val="center"/>
        <w:rPr>
          <w:sz w:val="28"/>
          <w:szCs w:val="28"/>
        </w:rPr>
      </w:pPr>
      <w:r>
        <w:rPr>
          <w:rFonts w:hint="eastAsia" w:ascii="宋体"/>
          <w:b/>
          <w:color w:val="000000"/>
          <w:sz w:val="28"/>
          <w:szCs w:val="28"/>
        </w:rPr>
        <w:t>目    录</w:t>
      </w:r>
    </w:p>
    <w:p>
      <w:pPr>
        <w:adjustRightInd w:val="0"/>
        <w:snapToGrid w:val="0"/>
        <w:spacing w:line="360" w:lineRule="auto"/>
        <w:jc w:val="center"/>
        <w:rPr>
          <w:rFonts w:eastAsia="仿宋_GB2312"/>
          <w:color w:val="000000"/>
          <w:sz w:val="24"/>
          <w:szCs w:val="24"/>
        </w:rPr>
      </w:pPr>
    </w:p>
    <w:p>
      <w:pPr>
        <w:pStyle w:val="8"/>
        <w:tabs>
          <w:tab w:val="right" w:leader="dot" w:pos="9060"/>
        </w:tabs>
        <w:rPr>
          <w:rFonts w:asciiTheme="minorHAnsi" w:hAnsiTheme="minorHAnsi" w:eastAsiaTheme="minorEastAsia" w:cstheme="minorBidi"/>
          <w:b w:val="0"/>
          <w:bCs w:val="0"/>
          <w:caps w:val="0"/>
          <w:sz w:val="21"/>
          <w:szCs w:val="22"/>
        </w:rPr>
      </w:pPr>
      <w:r>
        <w:rPr>
          <w:rFonts w:eastAsia="仿宋_GB2312"/>
          <w:b w:val="0"/>
          <w:bCs w:val="0"/>
          <w:color w:val="000000"/>
          <w:kern w:val="44"/>
          <w:sz w:val="24"/>
          <w:szCs w:val="24"/>
        </w:rPr>
        <w:fldChar w:fldCharType="begin"/>
      </w:r>
      <w:r>
        <w:rPr>
          <w:rFonts w:eastAsia="仿宋_GB2312"/>
          <w:b w:val="0"/>
          <w:bCs w:val="0"/>
          <w:color w:val="000000"/>
          <w:kern w:val="44"/>
          <w:sz w:val="24"/>
          <w:szCs w:val="24"/>
        </w:rPr>
        <w:instrText xml:space="preserve"> TOC \o "1-1" \h \z \u </w:instrText>
      </w:r>
      <w:r>
        <w:rPr>
          <w:rFonts w:eastAsia="仿宋_GB2312"/>
          <w:b w:val="0"/>
          <w:bCs w:val="0"/>
          <w:color w:val="000000"/>
          <w:kern w:val="44"/>
          <w:sz w:val="24"/>
          <w:szCs w:val="24"/>
        </w:rPr>
        <w:fldChar w:fldCharType="separate"/>
      </w:r>
      <w:r>
        <w:fldChar w:fldCharType="begin"/>
      </w:r>
      <w:r>
        <w:instrText xml:space="preserve"> HYPERLINK \l "_Toc103766753" </w:instrText>
      </w:r>
      <w:r>
        <w:fldChar w:fldCharType="separate"/>
      </w:r>
      <w:r>
        <w:rPr>
          <w:rStyle w:val="12"/>
        </w:rPr>
        <w:t>1</w:t>
      </w:r>
      <w:r>
        <w:rPr>
          <w:rStyle w:val="12"/>
          <w:rFonts w:hAnsi="宋体"/>
        </w:rPr>
        <w:t>　总则</w:t>
      </w:r>
      <w:r>
        <w:tab/>
      </w:r>
      <w:r>
        <w:fldChar w:fldCharType="begin"/>
      </w:r>
      <w:r>
        <w:instrText xml:space="preserve"> PAGEREF _Toc103766753 \h </w:instrText>
      </w:r>
      <w:r>
        <w:fldChar w:fldCharType="separate"/>
      </w:r>
      <w:r>
        <w:t>1</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"_Toc103766754" </w:instrText>
      </w:r>
      <w:r>
        <w:fldChar w:fldCharType="separate"/>
      </w:r>
      <w:r>
        <w:rPr>
          <w:rStyle w:val="12"/>
        </w:rPr>
        <w:t>2</w:t>
      </w:r>
      <w:r>
        <w:rPr>
          <w:rStyle w:val="12"/>
          <w:rFonts w:hAnsi="宋体"/>
        </w:rPr>
        <w:t>　标准规范</w:t>
      </w:r>
      <w:r>
        <w:tab/>
      </w:r>
      <w:r>
        <w:fldChar w:fldCharType="begin"/>
      </w:r>
      <w:r>
        <w:instrText xml:space="preserve"> PAGEREF _Toc103766754 \h </w:instrText>
      </w:r>
      <w:r>
        <w:fldChar w:fldCharType="separate"/>
      </w:r>
      <w:r>
        <w:t>2</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"_Toc103766755" </w:instrText>
      </w:r>
      <w:r>
        <w:fldChar w:fldCharType="separate"/>
      </w:r>
      <w:r>
        <w:rPr>
          <w:rStyle w:val="12"/>
        </w:rPr>
        <w:t>3</w:t>
      </w:r>
      <w:r>
        <w:rPr>
          <w:rStyle w:val="12"/>
          <w:rFonts w:hAnsi="宋体"/>
        </w:rPr>
        <w:t>　以太网交换机技术要求</w:t>
      </w:r>
      <w:r>
        <w:tab/>
      </w:r>
      <w:r>
        <w:fldChar w:fldCharType="begin"/>
      </w:r>
      <w:r>
        <w:instrText xml:space="preserve"> PAGEREF _Toc103766755 \h </w:instrText>
      </w:r>
      <w:r>
        <w:fldChar w:fldCharType="separate"/>
      </w:r>
      <w:r>
        <w:t>4</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"_Toc103766756" </w:instrText>
      </w:r>
      <w:r>
        <w:fldChar w:fldCharType="separate"/>
      </w:r>
      <w:r>
        <w:rPr>
          <w:rStyle w:val="12"/>
        </w:rPr>
        <w:t>4</w:t>
      </w:r>
      <w:r>
        <w:rPr>
          <w:rStyle w:val="12"/>
          <w:rFonts w:hAnsi="宋体"/>
        </w:rPr>
        <w:t>　验收试验</w:t>
      </w:r>
      <w:r>
        <w:tab/>
      </w:r>
      <w:r>
        <w:fldChar w:fldCharType="begin"/>
      </w:r>
      <w:r>
        <w:instrText xml:space="preserve"> PAGEREF _Toc103766756 \h </w:instrText>
      </w:r>
      <w:r>
        <w:fldChar w:fldCharType="separate"/>
      </w:r>
      <w:r>
        <w:t>5</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"_Toc103766757" </w:instrText>
      </w:r>
      <w:r>
        <w:fldChar w:fldCharType="separate"/>
      </w:r>
      <w:r>
        <w:rPr>
          <w:rStyle w:val="12"/>
        </w:rPr>
        <w:t>5</w:t>
      </w:r>
      <w:r>
        <w:rPr>
          <w:rStyle w:val="12"/>
          <w:rFonts w:hAnsi="宋体"/>
        </w:rPr>
        <w:t>　质量保证及管理</w:t>
      </w:r>
      <w:r>
        <w:tab/>
      </w:r>
      <w:r>
        <w:fldChar w:fldCharType="begin"/>
      </w:r>
      <w:r>
        <w:instrText xml:space="preserve"> PAGEREF _Toc103766757 \h </w:instrText>
      </w:r>
      <w:r>
        <w:fldChar w:fldCharType="separate"/>
      </w:r>
      <w:r>
        <w:t>6</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"_Toc103766758" </w:instrText>
      </w:r>
      <w:r>
        <w:fldChar w:fldCharType="separate"/>
      </w:r>
      <w:r>
        <w:rPr>
          <w:rStyle w:val="12"/>
        </w:rPr>
        <w:t>6</w:t>
      </w:r>
      <w:r>
        <w:rPr>
          <w:rStyle w:val="12"/>
          <w:rFonts w:hAnsi="宋体"/>
        </w:rPr>
        <w:t>　技术服务</w:t>
      </w:r>
      <w:r>
        <w:tab/>
      </w:r>
      <w:r>
        <w:fldChar w:fldCharType="begin"/>
      </w:r>
      <w:r>
        <w:instrText xml:space="preserve"> PAGEREF _Toc103766758 \h </w:instrText>
      </w:r>
      <w:r>
        <w:fldChar w:fldCharType="separate"/>
      </w:r>
      <w:r>
        <w:t>7</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"_Toc103766759" </w:instrText>
      </w:r>
      <w:r>
        <w:fldChar w:fldCharType="separate"/>
      </w:r>
      <w:r>
        <w:rPr>
          <w:rStyle w:val="12"/>
        </w:rPr>
        <w:t>7</w:t>
      </w:r>
      <w:r>
        <w:rPr>
          <w:rStyle w:val="12"/>
          <w:rFonts w:hAnsi="宋体"/>
        </w:rPr>
        <w:t>　备品备件、仪器仪表及专用工具</w:t>
      </w:r>
      <w:r>
        <w:tab/>
      </w:r>
      <w:r>
        <w:fldChar w:fldCharType="begin"/>
      </w:r>
      <w:r>
        <w:instrText xml:space="preserve"> PAGEREF _Toc103766759 \h </w:instrText>
      </w:r>
      <w:r>
        <w:fldChar w:fldCharType="separate"/>
      </w:r>
      <w:r>
        <w:t>8</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"_Toc103766760" </w:instrText>
      </w:r>
      <w:r>
        <w:fldChar w:fldCharType="separate"/>
      </w:r>
      <w:r>
        <w:rPr>
          <w:rStyle w:val="12"/>
        </w:rPr>
        <w:t>8</w:t>
      </w:r>
      <w:r>
        <w:rPr>
          <w:rStyle w:val="12"/>
          <w:rFonts w:hAnsi="宋体"/>
        </w:rPr>
        <w:t>　技术资料、图纸和说明书</w:t>
      </w:r>
      <w:r>
        <w:tab/>
      </w:r>
      <w:r>
        <w:fldChar w:fldCharType="begin"/>
      </w:r>
      <w:r>
        <w:instrText xml:space="preserve"> PAGEREF _Toc103766760 \h </w:instrText>
      </w:r>
      <w:r>
        <w:fldChar w:fldCharType="separate"/>
      </w:r>
      <w:r>
        <w:t>8</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"_Toc103766761" </w:instrText>
      </w:r>
      <w:r>
        <w:fldChar w:fldCharType="separate"/>
      </w:r>
      <w:r>
        <w:rPr>
          <w:rStyle w:val="12"/>
          <w:rFonts w:hAnsi="宋体"/>
        </w:rPr>
        <w:t>9　设计联络会及培训</w:t>
      </w:r>
      <w:r>
        <w:tab/>
      </w:r>
      <w:r>
        <w:fldChar w:fldCharType="begin"/>
      </w:r>
      <w:r>
        <w:instrText xml:space="preserve"> PAGEREF _Toc103766761 \h </w:instrText>
      </w:r>
      <w:r>
        <w:fldChar w:fldCharType="separate"/>
      </w:r>
      <w:r>
        <w:t>9</w:t>
      </w:r>
      <w:r>
        <w:fldChar w:fldCharType="end"/>
      </w:r>
      <w:r>
        <w:fldChar w:fldCharType="end"/>
      </w:r>
    </w:p>
    <w:p>
      <w:pPr>
        <w:pStyle w:val="8"/>
        <w:tabs>
          <w:tab w:val="right" w:leader="dot" w:pos="9060"/>
        </w:tabs>
        <w:adjustRightInd w:val="0"/>
        <w:snapToGrid w:val="0"/>
        <w:spacing w:before="0" w:after="0" w:line="360" w:lineRule="auto"/>
        <w:ind w:firstLine="444" w:firstLineChars="185"/>
        <w:rPr>
          <w:color w:val="000000"/>
          <w:sz w:val="28"/>
        </w:rPr>
      </w:pPr>
      <w:r>
        <w:rPr>
          <w:rFonts w:eastAsia="仿宋_GB2312"/>
          <w:b w:val="0"/>
          <w:bCs w:val="0"/>
          <w:color w:val="000000"/>
          <w:kern w:val="44"/>
          <w:sz w:val="24"/>
          <w:szCs w:val="24"/>
        </w:rPr>
        <w:fldChar w:fldCharType="end"/>
      </w:r>
    </w:p>
    <w:p>
      <w:pPr>
        <w:jc w:val="center"/>
        <w:rPr>
          <w:color w:val="000000"/>
          <w:sz w:val="28"/>
        </w:rPr>
      </w:pPr>
    </w:p>
    <w:p>
      <w:pPr>
        <w:widowControl/>
        <w:jc w:val="left"/>
        <w:rPr>
          <w:color w:val="000000"/>
          <w:sz w:val="28"/>
        </w:rPr>
        <w:sectPr>
          <w:headerReference r:id="rId3" w:type="default"/>
          <w:pgSz w:w="11906" w:h="16838"/>
          <w:pgMar w:top="1474" w:right="1418" w:bottom="1418" w:left="1418" w:header="1021" w:footer="1021" w:gutter="0"/>
          <w:pgNumType w:start="0"/>
          <w:cols w:space="720" w:num="1"/>
          <w:docGrid w:type="lines" w:linePitch="312" w:charSpace="0"/>
        </w:sectPr>
      </w:pPr>
    </w:p>
    <w:p>
      <w:pPr>
        <w:adjustRightInd w:val="0"/>
        <w:snapToGrid w:val="0"/>
        <w:spacing w:line="360" w:lineRule="auto"/>
        <w:outlineLvl w:val="0"/>
        <w:rPr>
          <w:b/>
          <w:sz w:val="24"/>
          <w:szCs w:val="24"/>
        </w:rPr>
      </w:pPr>
      <w:bookmarkStart w:id="0" w:name="_Toc244399767"/>
      <w:bookmarkStart w:id="1" w:name="_Toc103766753"/>
      <w:bookmarkStart w:id="2" w:name="_Toc247777292"/>
      <w:bookmarkStart w:id="3" w:name="_Toc244156671"/>
      <w:r>
        <w:rPr>
          <w:b/>
          <w:sz w:val="24"/>
          <w:szCs w:val="24"/>
        </w:rPr>
        <w:t>1</w:t>
      </w:r>
      <w:r>
        <w:rPr>
          <w:rFonts w:hint="eastAsia" w:hAnsi="宋体"/>
          <w:b/>
          <w:sz w:val="24"/>
          <w:szCs w:val="24"/>
        </w:rPr>
        <w:t>　总则</w:t>
      </w:r>
      <w:bookmarkEnd w:id="0"/>
      <w:bookmarkEnd w:id="1"/>
      <w:bookmarkEnd w:id="2"/>
      <w:bookmarkEnd w:id="3"/>
    </w:p>
    <w:p>
      <w:pPr>
        <w:topLinePunct/>
        <w:adjustRightInd w:val="0"/>
        <w:snapToGrid w:val="0"/>
        <w:spacing w:line="360" w:lineRule="auto"/>
        <w:rPr>
          <w:sz w:val="24"/>
          <w:szCs w:val="24"/>
        </w:rPr>
      </w:pPr>
      <w:r>
        <w:rPr>
          <w:sz w:val="24"/>
          <w:szCs w:val="24"/>
        </w:rPr>
        <w:t>1.1</w:t>
      </w:r>
      <w:r>
        <w:rPr>
          <w:rFonts w:hint="eastAsia" w:hAnsi="宋体"/>
          <w:sz w:val="24"/>
          <w:szCs w:val="24"/>
        </w:rPr>
        <w:t>　</w:t>
      </w:r>
      <w:r>
        <w:rPr>
          <w:rFonts w:hint="eastAsia" w:hAnsi="宋体"/>
          <w:kern w:val="0"/>
          <w:sz w:val="24"/>
          <w:szCs w:val="24"/>
        </w:rPr>
        <w:t>本技术规范为阿拉善供电公司阿右旗供电分公司信息机房双设备改造中交换机的</w:t>
      </w:r>
      <w:r>
        <w:rPr>
          <w:rFonts w:hint="eastAsia" w:hAnsi="宋体"/>
          <w:sz w:val="24"/>
          <w:szCs w:val="24"/>
        </w:rPr>
        <w:t>技术规范和说明，包括设备的功能、性能、结构、硬件、软件、验收、质量保证措施、技术服务等要求。</w:t>
      </w:r>
    </w:p>
    <w:p>
      <w:pPr>
        <w:topLinePunct/>
        <w:adjustRightInd w:val="0"/>
        <w:snapToGrid w:val="0"/>
        <w:spacing w:line="360" w:lineRule="auto"/>
        <w:rPr>
          <w:spacing w:val="4"/>
          <w:sz w:val="24"/>
          <w:szCs w:val="24"/>
        </w:rPr>
      </w:pPr>
      <w:r>
        <w:rPr>
          <w:spacing w:val="4"/>
          <w:sz w:val="24"/>
          <w:szCs w:val="24"/>
        </w:rPr>
        <w:t>1.2</w:t>
      </w:r>
      <w:r>
        <w:rPr>
          <w:rFonts w:hint="eastAsia" w:hAnsi="宋体"/>
          <w:spacing w:val="4"/>
          <w:sz w:val="24"/>
          <w:szCs w:val="24"/>
        </w:rPr>
        <w:t>　本技术规范提出的是最低限度的技术要求，并未对一切技术细节作出规定，</w:t>
      </w:r>
      <w:r>
        <w:rPr>
          <w:rFonts w:hAnsi="宋体"/>
          <w:spacing w:val="4"/>
          <w:sz w:val="24"/>
          <w:szCs w:val="24"/>
        </w:rPr>
        <w:t xml:space="preserve"> </w:t>
      </w:r>
      <w:r>
        <w:rPr>
          <w:rFonts w:hint="eastAsia" w:hAnsi="宋体"/>
          <w:spacing w:val="4"/>
          <w:sz w:val="24"/>
          <w:szCs w:val="24"/>
        </w:rPr>
        <w:t>也未充分引述有关标准和规范的条文，</w:t>
      </w:r>
      <w:r>
        <w:rPr>
          <w:rFonts w:hAnsi="宋体"/>
          <w:spacing w:val="4"/>
          <w:sz w:val="24"/>
          <w:szCs w:val="24"/>
        </w:rPr>
        <w:t xml:space="preserve">  </w:t>
      </w:r>
      <w:r>
        <w:rPr>
          <w:rFonts w:hint="eastAsia" w:hAnsi="宋体"/>
          <w:spacing w:val="4"/>
          <w:sz w:val="24"/>
          <w:szCs w:val="24"/>
        </w:rPr>
        <w:t>卖方应提供符合本规范和工业标准的优质 产品。</w:t>
      </w:r>
    </w:p>
    <w:p>
      <w:pPr>
        <w:topLinePunct/>
        <w:adjustRightInd w:val="0"/>
        <w:snapToGrid w:val="0"/>
        <w:spacing w:line="360" w:lineRule="auto"/>
        <w:rPr>
          <w:sz w:val="24"/>
          <w:szCs w:val="24"/>
        </w:rPr>
      </w:pPr>
      <w:r>
        <w:rPr>
          <w:sz w:val="24"/>
          <w:szCs w:val="24"/>
        </w:rPr>
        <w:t>1.3</w:t>
      </w:r>
      <w:r>
        <w:rPr>
          <w:rFonts w:hint="eastAsia" w:hAnsi="宋体"/>
          <w:sz w:val="24"/>
          <w:szCs w:val="24"/>
        </w:rPr>
        <w:t>　如果卖方没有以书面形式对本规范的条文提出异议，则意味着卖方提供的设备完全符合本规范的要求。如有异议，不管是多么微小，都应在报价书中的技术规范专用部分的</w:t>
      </w:r>
      <w:r>
        <w:rPr>
          <w:sz w:val="24"/>
          <w:szCs w:val="24"/>
        </w:rPr>
        <w:t>“</w:t>
      </w:r>
      <w:r>
        <w:rPr>
          <w:rFonts w:hint="eastAsia" w:hAnsi="宋体"/>
          <w:sz w:val="24"/>
          <w:szCs w:val="24"/>
        </w:rPr>
        <w:t>投标人技术偏差表</w:t>
      </w:r>
      <w:r>
        <w:rPr>
          <w:sz w:val="24"/>
          <w:szCs w:val="24"/>
        </w:rPr>
        <w:t>”</w:t>
      </w:r>
      <w:r>
        <w:rPr>
          <w:rFonts w:hint="eastAsia" w:hAnsi="宋体"/>
          <w:sz w:val="24"/>
          <w:szCs w:val="24"/>
        </w:rPr>
        <w:t>中加以详细描述。</w:t>
      </w:r>
    </w:p>
    <w:p>
      <w:pPr>
        <w:topLinePunct/>
        <w:adjustRightInd w:val="0"/>
        <w:snapToGrid w:val="0"/>
        <w:spacing w:line="360" w:lineRule="auto"/>
        <w:rPr>
          <w:sz w:val="24"/>
          <w:szCs w:val="24"/>
        </w:rPr>
      </w:pPr>
      <w:r>
        <w:rPr>
          <w:sz w:val="24"/>
          <w:szCs w:val="24"/>
        </w:rPr>
        <w:t>1.4</w:t>
      </w:r>
      <w:r>
        <w:rPr>
          <w:rFonts w:hint="eastAsia" w:hAnsi="宋体"/>
          <w:sz w:val="24"/>
          <w:szCs w:val="24"/>
        </w:rPr>
        <w:t>　本技术规范所使用的标准如遇与卖方所执行的标准不一致时，按较高标准执行。</w:t>
      </w:r>
    </w:p>
    <w:p>
      <w:pPr>
        <w:topLinePunct/>
        <w:adjustRightInd w:val="0"/>
        <w:snapToGrid w:val="0"/>
        <w:spacing w:line="360" w:lineRule="auto"/>
        <w:rPr>
          <w:sz w:val="24"/>
          <w:szCs w:val="24"/>
        </w:rPr>
      </w:pPr>
      <w:r>
        <w:rPr>
          <w:sz w:val="24"/>
          <w:szCs w:val="24"/>
        </w:rPr>
        <w:t>1.5</w:t>
      </w:r>
      <w:r>
        <w:rPr>
          <w:rFonts w:hint="eastAsia" w:hAnsi="宋体"/>
          <w:sz w:val="24"/>
          <w:szCs w:val="24"/>
        </w:rPr>
        <w:t>　本技术规范经买、卖双方确认后作为订货合同的技术附件，与合同正文具有同等的法律效力。</w:t>
      </w:r>
    </w:p>
    <w:p>
      <w:pPr>
        <w:tabs>
          <w:tab w:val="left" w:pos="814"/>
          <w:tab w:val="left" w:pos="1260"/>
        </w:tabs>
        <w:topLinePunct/>
        <w:adjustRightInd w:val="0"/>
        <w:snapToGrid w:val="0"/>
        <w:spacing w:line="360" w:lineRule="auto"/>
        <w:rPr>
          <w:spacing w:val="2"/>
          <w:sz w:val="24"/>
          <w:szCs w:val="24"/>
        </w:rPr>
      </w:pPr>
      <w:r>
        <w:rPr>
          <w:spacing w:val="2"/>
          <w:sz w:val="24"/>
          <w:szCs w:val="24"/>
        </w:rPr>
        <w:t>1.</w:t>
      </w:r>
      <w:r>
        <w:rPr>
          <w:rFonts w:hint="eastAsia"/>
          <w:spacing w:val="2"/>
          <w:sz w:val="24"/>
          <w:szCs w:val="24"/>
          <w:lang w:val="en-US" w:eastAsia="zh-CN"/>
        </w:rPr>
        <w:t>6</w:t>
      </w:r>
      <w:r>
        <w:rPr>
          <w:rFonts w:hint="eastAsia" w:hAnsi="宋体"/>
          <w:spacing w:val="2"/>
          <w:sz w:val="24"/>
          <w:szCs w:val="24"/>
        </w:rPr>
        <w:t>　投标人在中标后必须指定每一标段至少</w:t>
      </w:r>
      <w:r>
        <w:rPr>
          <w:spacing w:val="2"/>
          <w:sz w:val="24"/>
          <w:szCs w:val="24"/>
        </w:rPr>
        <w:t>1</w:t>
      </w:r>
      <w:r>
        <w:rPr>
          <w:rFonts w:hint="eastAsia" w:hAnsi="宋体"/>
          <w:spacing w:val="2"/>
          <w:sz w:val="24"/>
          <w:szCs w:val="24"/>
        </w:rPr>
        <w:t>名有经验的业务代表作为该标段工程项目经理，全权负责和协调整个项目的商务与售后服务。指定</w:t>
      </w:r>
      <w:r>
        <w:rPr>
          <w:spacing w:val="2"/>
          <w:sz w:val="24"/>
          <w:szCs w:val="24"/>
        </w:rPr>
        <w:t>1</w:t>
      </w:r>
      <w:r>
        <w:rPr>
          <w:rFonts w:hint="eastAsia" w:hAnsi="宋体"/>
          <w:spacing w:val="2"/>
          <w:sz w:val="24"/>
          <w:szCs w:val="24"/>
        </w:rPr>
        <w:t>名技术负责人和若干名工程师负责技术工作，技术负责人和工程师均须通过设备原厂商的技术认证。工程师的技术资质材料必须提交用户方认可。</w:t>
      </w:r>
      <w:r>
        <w:rPr>
          <w:rFonts w:hAnsi="宋体"/>
          <w:spacing w:val="2"/>
          <w:sz w:val="24"/>
          <w:szCs w:val="24"/>
        </w:rPr>
        <w:t xml:space="preserve"> </w:t>
      </w:r>
      <w:r>
        <w:rPr>
          <w:rFonts w:hint="eastAsia" w:hAnsi="宋体"/>
          <w:spacing w:val="2"/>
          <w:sz w:val="24"/>
          <w:szCs w:val="24"/>
        </w:rPr>
        <w:t>只有经买方认可后，</w:t>
      </w:r>
      <w:r>
        <w:rPr>
          <w:rFonts w:hAnsi="宋体"/>
          <w:spacing w:val="2"/>
          <w:sz w:val="24"/>
          <w:szCs w:val="24"/>
        </w:rPr>
        <w:t xml:space="preserve"> </w:t>
      </w:r>
      <w:r>
        <w:rPr>
          <w:rFonts w:hint="eastAsia" w:hAnsi="宋体"/>
          <w:spacing w:val="2"/>
          <w:sz w:val="24"/>
          <w:szCs w:val="24"/>
        </w:rPr>
        <w:t>方能进行设备的调试工作。</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rFonts w:hint="eastAsia" w:hAnsi="宋体"/>
          <w:sz w:val="24"/>
          <w:szCs w:val="24"/>
        </w:rPr>
        <w:t>　</w:t>
      </w:r>
      <w:bookmarkStart w:id="4" w:name="_Toc97017825"/>
      <w:bookmarkStart w:id="5" w:name="_Toc97018522"/>
      <w:r>
        <w:rPr>
          <w:rFonts w:hint="eastAsia" w:hAnsi="宋体"/>
          <w:sz w:val="24"/>
          <w:szCs w:val="24"/>
        </w:rPr>
        <w:t>双方职责</w:t>
      </w:r>
      <w:bookmarkEnd w:id="4"/>
      <w:bookmarkEnd w:id="5"/>
    </w:p>
    <w:p>
      <w:pPr>
        <w:topLinePunct/>
        <w:adjustRightInd w:val="0"/>
        <w:snapToGrid w:val="0"/>
        <w:spacing w:line="360" w:lineRule="auto"/>
        <w:ind w:firstLine="480" w:firstLineChars="200"/>
        <w:rPr>
          <w:sz w:val="24"/>
          <w:szCs w:val="24"/>
        </w:rPr>
      </w:pPr>
      <w:r>
        <w:rPr>
          <w:rFonts w:hint="eastAsia" w:hAnsi="宋体"/>
          <w:sz w:val="24"/>
          <w:szCs w:val="24"/>
        </w:rPr>
        <w:t>双方在合同期间应承担如下职责：</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sz w:val="24"/>
          <w:szCs w:val="24"/>
        </w:rPr>
        <w:t>.1</w:t>
      </w:r>
      <w:r>
        <w:rPr>
          <w:rFonts w:hint="eastAsia" w:hAnsi="宋体"/>
          <w:sz w:val="24"/>
          <w:szCs w:val="24"/>
        </w:rPr>
        <w:t>　卖方的职责。</w:t>
      </w:r>
    </w:p>
    <w:p>
      <w:pPr>
        <w:topLinePunct/>
        <w:adjustRightInd w:val="0"/>
        <w:snapToGrid w:val="0"/>
        <w:spacing w:line="360" w:lineRule="auto"/>
        <w:ind w:firstLine="480" w:firstLineChars="200"/>
        <w:rPr>
          <w:sz w:val="24"/>
          <w:szCs w:val="24"/>
        </w:rPr>
      </w:pPr>
      <w:bookmarkStart w:id="6" w:name="_Toc97017826"/>
      <w:r>
        <w:rPr>
          <w:sz w:val="24"/>
          <w:szCs w:val="24"/>
        </w:rPr>
        <w:t>1</w:t>
      </w:r>
      <w:r>
        <w:rPr>
          <w:rFonts w:hint="eastAsia" w:hAnsi="宋体"/>
          <w:sz w:val="24"/>
          <w:szCs w:val="24"/>
        </w:rPr>
        <w:t>）</w:t>
      </w:r>
      <w:r>
        <w:rPr>
          <w:sz w:val="24"/>
          <w:szCs w:val="24"/>
        </w:rPr>
        <w:t xml:space="preserve"> </w:t>
      </w:r>
      <w:r>
        <w:rPr>
          <w:rFonts w:hint="eastAsia" w:hAnsi="宋体"/>
          <w:sz w:val="24"/>
          <w:szCs w:val="24"/>
        </w:rPr>
        <w:t>设计、配置和提供一套符合本规范要求的系统，包括所有必需的软件和硬件，</w:t>
      </w:r>
      <w:r>
        <w:rPr>
          <w:rFonts w:hint="eastAsia" w:hAnsi="宋体"/>
          <w:kern w:val="0"/>
          <w:sz w:val="24"/>
          <w:szCs w:val="24"/>
        </w:rPr>
        <w:t>提供详细设计和服务数据</w:t>
      </w:r>
      <w:r>
        <w:rPr>
          <w:rFonts w:hint="eastAsia" w:hAnsi="宋体"/>
          <w:sz w:val="24"/>
          <w:szCs w:val="24"/>
        </w:rPr>
        <w:t>、</w:t>
      </w:r>
      <w:r>
        <w:rPr>
          <w:rFonts w:hint="eastAsia" w:hAnsi="宋体"/>
          <w:kern w:val="0"/>
          <w:sz w:val="24"/>
          <w:szCs w:val="24"/>
        </w:rPr>
        <w:t>型式试验和常规试验数据，以便确认供货设备能否满足所有的性能要求，</w:t>
      </w:r>
      <w:r>
        <w:rPr>
          <w:rFonts w:hint="eastAsia" w:hAnsi="宋体"/>
          <w:sz w:val="24"/>
          <w:szCs w:val="24"/>
        </w:rPr>
        <w:t>并负责设备的工程安装、调试。</w:t>
      </w:r>
      <w:bookmarkEnd w:id="6"/>
    </w:p>
    <w:p>
      <w:pPr>
        <w:topLinePunct/>
        <w:adjustRightInd w:val="0"/>
        <w:snapToGrid w:val="0"/>
        <w:spacing w:line="360" w:lineRule="auto"/>
        <w:ind w:firstLine="480" w:firstLineChars="200"/>
        <w:rPr>
          <w:sz w:val="24"/>
          <w:szCs w:val="24"/>
        </w:rPr>
      </w:pPr>
      <w:bookmarkStart w:id="7" w:name="_Toc97017827"/>
      <w:r>
        <w:rPr>
          <w:sz w:val="24"/>
          <w:szCs w:val="24"/>
        </w:rPr>
        <w:t>2</w:t>
      </w:r>
      <w:r>
        <w:rPr>
          <w:rFonts w:hint="eastAsia" w:hAnsi="宋体"/>
          <w:sz w:val="24"/>
          <w:szCs w:val="24"/>
        </w:rPr>
        <w:t>）</w:t>
      </w:r>
      <w:r>
        <w:rPr>
          <w:sz w:val="24"/>
          <w:szCs w:val="24"/>
        </w:rPr>
        <w:t xml:space="preserve"> </w:t>
      </w:r>
      <w:r>
        <w:rPr>
          <w:rFonts w:hint="eastAsia" w:hAnsi="宋体"/>
          <w:sz w:val="24"/>
          <w:szCs w:val="24"/>
        </w:rPr>
        <w:t>提供合同范围内的硬件设备以及设备的安装辅材、各设备之间的连接电缆（包括通信电缆和电源电缆）等（应包含在投标报价中）。</w:t>
      </w:r>
      <w:bookmarkEnd w:id="7"/>
    </w:p>
    <w:p>
      <w:pPr>
        <w:topLinePunct/>
        <w:adjustRightInd w:val="0"/>
        <w:snapToGrid w:val="0"/>
        <w:spacing w:line="360" w:lineRule="auto"/>
        <w:ind w:firstLine="480" w:firstLineChars="200"/>
        <w:rPr>
          <w:sz w:val="24"/>
          <w:szCs w:val="24"/>
        </w:rPr>
      </w:pPr>
      <w:bookmarkStart w:id="8" w:name="_Toc97017828"/>
      <w:r>
        <w:rPr>
          <w:sz w:val="24"/>
          <w:szCs w:val="24"/>
        </w:rPr>
        <w:t>3</w:t>
      </w:r>
      <w:r>
        <w:rPr>
          <w:rFonts w:hint="eastAsia" w:hAnsi="宋体"/>
          <w:sz w:val="24"/>
          <w:szCs w:val="24"/>
        </w:rPr>
        <w:t>）</w:t>
      </w:r>
      <w:r>
        <w:rPr>
          <w:sz w:val="24"/>
          <w:szCs w:val="24"/>
        </w:rPr>
        <w:t xml:space="preserve"> </w:t>
      </w:r>
      <w:r>
        <w:rPr>
          <w:rFonts w:hint="eastAsia" w:hAnsi="宋体"/>
          <w:sz w:val="24"/>
          <w:szCs w:val="24"/>
        </w:rPr>
        <w:t>提供设备运行所需的所有软件，包括操作系统软件、支撑软件和应用软件。</w:t>
      </w:r>
    </w:p>
    <w:p>
      <w:pPr>
        <w:topLinePunct/>
        <w:adjustRightInd w:val="0"/>
        <w:snapToGrid w:val="0"/>
        <w:spacing w:line="360" w:lineRule="auto"/>
        <w:ind w:firstLine="480" w:firstLineChars="200"/>
        <w:rPr>
          <w:sz w:val="24"/>
          <w:szCs w:val="24"/>
        </w:rPr>
      </w:pPr>
      <w:r>
        <w:rPr>
          <w:sz w:val="24"/>
          <w:szCs w:val="24"/>
        </w:rPr>
        <w:t>4</w:t>
      </w:r>
      <w:r>
        <w:rPr>
          <w:rFonts w:hint="eastAsia" w:hAnsi="宋体"/>
          <w:sz w:val="24"/>
          <w:szCs w:val="24"/>
        </w:rPr>
        <w:t>）</w:t>
      </w:r>
      <w:r>
        <w:rPr>
          <w:sz w:val="24"/>
          <w:szCs w:val="24"/>
        </w:rPr>
        <w:t xml:space="preserve"> </w:t>
      </w:r>
      <w:r>
        <w:rPr>
          <w:rFonts w:hint="eastAsia" w:hAnsi="宋体"/>
          <w:sz w:val="24"/>
          <w:szCs w:val="24"/>
        </w:rPr>
        <w:t>提供设备有关接地、供电容量、空调、防火和设备布置的技术要求。</w:t>
      </w:r>
      <w:bookmarkEnd w:id="8"/>
    </w:p>
    <w:p>
      <w:pPr>
        <w:topLinePunct/>
        <w:adjustRightInd w:val="0"/>
        <w:snapToGrid w:val="0"/>
        <w:spacing w:line="360" w:lineRule="auto"/>
        <w:ind w:firstLine="480" w:firstLineChars="200"/>
        <w:rPr>
          <w:sz w:val="24"/>
          <w:szCs w:val="24"/>
        </w:rPr>
      </w:pPr>
      <w:bookmarkStart w:id="9" w:name="_Toc97017833"/>
      <w:r>
        <w:rPr>
          <w:sz w:val="24"/>
          <w:szCs w:val="24"/>
        </w:rPr>
        <w:t>5</w:t>
      </w:r>
      <w:r>
        <w:rPr>
          <w:rFonts w:hint="eastAsia" w:hAnsi="宋体"/>
          <w:sz w:val="24"/>
          <w:szCs w:val="24"/>
        </w:rPr>
        <w:t>）</w:t>
      </w:r>
      <w:r>
        <w:rPr>
          <w:sz w:val="24"/>
          <w:szCs w:val="24"/>
        </w:rPr>
        <w:t xml:space="preserve"> </w:t>
      </w:r>
      <w:r>
        <w:rPr>
          <w:rFonts w:hint="eastAsia" w:hAnsi="宋体"/>
          <w:sz w:val="24"/>
          <w:szCs w:val="24"/>
        </w:rPr>
        <w:t>负责供货范围内设备的投运、试验验收、试运行和保修期内的故障排除。</w:t>
      </w:r>
      <w:bookmarkEnd w:id="9"/>
    </w:p>
    <w:p>
      <w:pPr>
        <w:topLinePunct/>
        <w:adjustRightInd w:val="0"/>
        <w:snapToGrid w:val="0"/>
        <w:spacing w:line="360" w:lineRule="auto"/>
        <w:ind w:firstLine="480" w:firstLineChars="200"/>
        <w:rPr>
          <w:sz w:val="24"/>
          <w:szCs w:val="24"/>
        </w:rPr>
      </w:pPr>
      <w:bookmarkStart w:id="10" w:name="_Toc97017834"/>
      <w:r>
        <w:rPr>
          <w:sz w:val="24"/>
          <w:szCs w:val="24"/>
        </w:rPr>
        <w:t>6</w:t>
      </w:r>
      <w:r>
        <w:rPr>
          <w:rFonts w:hint="eastAsia" w:hAnsi="宋体"/>
          <w:sz w:val="24"/>
          <w:szCs w:val="24"/>
        </w:rPr>
        <w:t>）</w:t>
      </w:r>
      <w:r>
        <w:rPr>
          <w:sz w:val="24"/>
          <w:szCs w:val="24"/>
        </w:rPr>
        <w:t xml:space="preserve"> </w:t>
      </w:r>
      <w:r>
        <w:rPr>
          <w:rFonts w:hint="eastAsia" w:hAnsi="宋体"/>
          <w:sz w:val="24"/>
          <w:szCs w:val="24"/>
        </w:rPr>
        <w:t>负责供货范围内所有设备的包装运输。</w:t>
      </w:r>
      <w:bookmarkEnd w:id="10"/>
    </w:p>
    <w:p>
      <w:pPr>
        <w:topLinePunct/>
        <w:adjustRightInd w:val="0"/>
        <w:snapToGrid w:val="0"/>
        <w:spacing w:line="360" w:lineRule="auto"/>
        <w:ind w:firstLine="480" w:firstLineChars="200"/>
        <w:rPr>
          <w:sz w:val="24"/>
          <w:szCs w:val="24"/>
        </w:rPr>
      </w:pPr>
      <w:bookmarkStart w:id="11" w:name="_Toc97017835"/>
      <w:r>
        <w:rPr>
          <w:sz w:val="24"/>
          <w:szCs w:val="24"/>
        </w:rPr>
        <w:t>7</w:t>
      </w:r>
      <w:r>
        <w:rPr>
          <w:rFonts w:hint="eastAsia" w:hAnsi="宋体"/>
          <w:sz w:val="24"/>
          <w:szCs w:val="24"/>
        </w:rPr>
        <w:t>）</w:t>
      </w:r>
      <w:r>
        <w:rPr>
          <w:sz w:val="24"/>
          <w:szCs w:val="24"/>
        </w:rPr>
        <w:t xml:space="preserve"> </w:t>
      </w:r>
      <w:r>
        <w:rPr>
          <w:rFonts w:hint="eastAsia" w:hAnsi="宋体"/>
          <w:sz w:val="24"/>
          <w:szCs w:val="24"/>
        </w:rPr>
        <w:t>负责培训买方的工程师，包括硬件培训、软件培训、系统操作和维护培训。并提供培训的环境，以及培训的硬件设施和必须的技术资料等</w:t>
      </w:r>
      <w:bookmarkEnd w:id="11"/>
      <w:r>
        <w:rPr>
          <w:rFonts w:hint="eastAsia" w:hAnsi="宋体"/>
          <w:sz w:val="24"/>
          <w:szCs w:val="24"/>
        </w:rPr>
        <w:t>。</w:t>
      </w:r>
    </w:p>
    <w:p>
      <w:pPr>
        <w:topLinePunct/>
        <w:adjustRightInd w:val="0"/>
        <w:snapToGrid w:val="0"/>
        <w:spacing w:line="360" w:lineRule="auto"/>
        <w:ind w:firstLine="480" w:firstLineChars="200"/>
        <w:rPr>
          <w:sz w:val="24"/>
          <w:szCs w:val="24"/>
        </w:rPr>
      </w:pPr>
      <w:bookmarkStart w:id="12" w:name="_Toc97017836"/>
      <w:r>
        <w:rPr>
          <w:sz w:val="24"/>
          <w:szCs w:val="24"/>
        </w:rPr>
        <w:t>8</w:t>
      </w:r>
      <w:r>
        <w:rPr>
          <w:rFonts w:hint="eastAsia" w:hAnsi="宋体"/>
          <w:sz w:val="24"/>
          <w:szCs w:val="24"/>
        </w:rPr>
        <w:t>）</w:t>
      </w:r>
      <w:r>
        <w:rPr>
          <w:sz w:val="24"/>
          <w:szCs w:val="24"/>
        </w:rPr>
        <w:t xml:space="preserve"> </w:t>
      </w:r>
      <w:r>
        <w:rPr>
          <w:rFonts w:hint="eastAsia" w:hAnsi="宋体"/>
          <w:sz w:val="24"/>
          <w:szCs w:val="24"/>
        </w:rPr>
        <w:t>提供所有合同设备必须的和建议的备品备件、仪器、仪表和工具（工程安装、调试、试验、验收，设备运行时所需）。</w:t>
      </w:r>
      <w:bookmarkEnd w:id="12"/>
    </w:p>
    <w:p>
      <w:pPr>
        <w:topLinePunct/>
        <w:adjustRightInd w:val="0"/>
        <w:snapToGrid w:val="0"/>
        <w:spacing w:line="360" w:lineRule="auto"/>
        <w:ind w:firstLine="480" w:firstLineChars="200"/>
        <w:rPr>
          <w:sz w:val="24"/>
          <w:szCs w:val="24"/>
        </w:rPr>
      </w:pPr>
      <w:bookmarkStart w:id="13" w:name="_Toc97017837"/>
      <w:r>
        <w:rPr>
          <w:sz w:val="24"/>
          <w:szCs w:val="24"/>
        </w:rPr>
        <w:t>9</w:t>
      </w:r>
      <w:r>
        <w:rPr>
          <w:rFonts w:hint="eastAsia" w:hAnsi="宋体"/>
          <w:sz w:val="24"/>
          <w:szCs w:val="24"/>
        </w:rPr>
        <w:t>）</w:t>
      </w:r>
      <w:r>
        <w:rPr>
          <w:sz w:val="24"/>
          <w:szCs w:val="24"/>
        </w:rPr>
        <w:t xml:space="preserve"> </w:t>
      </w:r>
      <w:r>
        <w:rPr>
          <w:rFonts w:hint="eastAsia" w:hAnsi="宋体"/>
          <w:sz w:val="24"/>
          <w:szCs w:val="24"/>
        </w:rPr>
        <w:t>提供所有的技术文件、参考资料、图纸和手册</w:t>
      </w:r>
      <w:r>
        <w:rPr>
          <w:rFonts w:hint="eastAsia" w:hAnsi="宋体"/>
          <w:kern w:val="0"/>
          <w:sz w:val="24"/>
          <w:szCs w:val="24"/>
        </w:rPr>
        <w:t>、制造和质量保证的一览表以及技术规范规定的其他资料</w:t>
      </w:r>
      <w:r>
        <w:rPr>
          <w:rFonts w:hint="eastAsia" w:hAnsi="宋体"/>
          <w:sz w:val="24"/>
          <w:szCs w:val="24"/>
        </w:rPr>
        <w:t>。</w:t>
      </w:r>
      <w:bookmarkEnd w:id="13"/>
    </w:p>
    <w:p>
      <w:pPr>
        <w:topLinePunct/>
        <w:adjustRightInd w:val="0"/>
        <w:snapToGrid w:val="0"/>
        <w:spacing w:line="360" w:lineRule="auto"/>
        <w:ind w:firstLine="480" w:firstLineChars="200"/>
        <w:rPr>
          <w:sz w:val="24"/>
          <w:szCs w:val="24"/>
        </w:rPr>
      </w:pPr>
      <w:bookmarkStart w:id="14" w:name="_Toc97017838"/>
      <w:r>
        <w:rPr>
          <w:sz w:val="24"/>
          <w:szCs w:val="24"/>
        </w:rPr>
        <w:t>10</w:t>
      </w:r>
      <w:r>
        <w:rPr>
          <w:rFonts w:hint="eastAsia" w:hAnsi="宋体"/>
          <w:sz w:val="24"/>
          <w:szCs w:val="24"/>
        </w:rPr>
        <w:t>）及时向买方通告有关软件的升级和更新，在</w:t>
      </w:r>
      <w:r>
        <w:rPr>
          <w:sz w:val="24"/>
          <w:szCs w:val="24"/>
        </w:rPr>
        <w:t>5</w:t>
      </w:r>
      <w:r>
        <w:rPr>
          <w:rFonts w:hint="eastAsia" w:hAnsi="宋体"/>
          <w:sz w:val="24"/>
          <w:szCs w:val="24"/>
        </w:rPr>
        <w:t>年内应免费提供并负责安装和调试。</w:t>
      </w:r>
      <w:bookmarkEnd w:id="14"/>
    </w:p>
    <w:p>
      <w:pPr>
        <w:topLinePunct/>
        <w:adjustRightInd w:val="0"/>
        <w:snapToGrid w:val="0"/>
        <w:spacing w:line="360" w:lineRule="auto"/>
        <w:ind w:firstLine="480" w:firstLineChars="200"/>
        <w:rPr>
          <w:sz w:val="24"/>
          <w:szCs w:val="24"/>
        </w:rPr>
      </w:pPr>
      <w:r>
        <w:rPr>
          <w:sz w:val="24"/>
          <w:szCs w:val="24"/>
        </w:rPr>
        <w:t>11</w:t>
      </w:r>
      <w:r>
        <w:rPr>
          <w:rFonts w:hint="eastAsia" w:hAnsi="宋体"/>
          <w:sz w:val="24"/>
          <w:szCs w:val="24"/>
        </w:rPr>
        <w:t>）</w:t>
      </w:r>
      <w:r>
        <w:rPr>
          <w:sz w:val="24"/>
          <w:szCs w:val="24"/>
        </w:rPr>
        <w:tab/>
      </w:r>
      <w:r>
        <w:rPr>
          <w:rFonts w:hint="eastAsia" w:hAnsi="宋体"/>
          <w:sz w:val="24"/>
          <w:szCs w:val="24"/>
        </w:rPr>
        <w:t>负责本系统与买方其他系统的接口连接和互联。</w:t>
      </w:r>
    </w:p>
    <w:p>
      <w:pPr>
        <w:topLinePunct/>
        <w:adjustRightInd w:val="0"/>
        <w:snapToGrid w:val="0"/>
        <w:spacing w:line="360" w:lineRule="auto"/>
        <w:ind w:firstLine="480" w:firstLineChars="200"/>
        <w:rPr>
          <w:sz w:val="24"/>
          <w:szCs w:val="24"/>
        </w:rPr>
      </w:pPr>
      <w:r>
        <w:rPr>
          <w:sz w:val="24"/>
          <w:szCs w:val="24"/>
        </w:rPr>
        <w:t>12</w:t>
      </w:r>
      <w:r>
        <w:rPr>
          <w:rFonts w:hint="eastAsia" w:hAnsi="宋体"/>
          <w:sz w:val="24"/>
          <w:szCs w:val="24"/>
        </w:rPr>
        <w:t>）</w:t>
      </w:r>
      <w:r>
        <w:rPr>
          <w:rFonts w:hint="eastAsia" w:hAnsi="宋体"/>
          <w:kern w:val="0"/>
          <w:sz w:val="24"/>
          <w:szCs w:val="24"/>
        </w:rPr>
        <w:t>负责派遣熟悉设备、经验丰富的工程技术人员负责督导设备的安装施工，对督导人员未能及时到场所引起的一切后果负全部责任。</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sz w:val="24"/>
          <w:szCs w:val="24"/>
        </w:rPr>
        <w:t>.2</w:t>
      </w:r>
      <w:r>
        <w:rPr>
          <w:rFonts w:hint="eastAsia" w:hAnsi="宋体"/>
          <w:sz w:val="24"/>
          <w:szCs w:val="24"/>
        </w:rPr>
        <w:t>　买方的责任。</w:t>
      </w:r>
    </w:p>
    <w:p>
      <w:pPr>
        <w:topLinePunct/>
        <w:adjustRightInd w:val="0"/>
        <w:snapToGrid w:val="0"/>
        <w:spacing w:line="360" w:lineRule="auto"/>
        <w:ind w:firstLine="480" w:firstLineChars="200"/>
        <w:rPr>
          <w:sz w:val="24"/>
          <w:szCs w:val="24"/>
        </w:rPr>
      </w:pPr>
      <w:bookmarkStart w:id="15" w:name="_Toc97017840"/>
      <w:r>
        <w:rPr>
          <w:sz w:val="24"/>
          <w:szCs w:val="24"/>
        </w:rPr>
        <w:t>1</w:t>
      </w:r>
      <w:r>
        <w:rPr>
          <w:rFonts w:hint="eastAsia" w:hAnsi="宋体"/>
          <w:sz w:val="24"/>
          <w:szCs w:val="24"/>
        </w:rPr>
        <w:t>）</w:t>
      </w:r>
      <w:r>
        <w:rPr>
          <w:sz w:val="24"/>
          <w:szCs w:val="24"/>
        </w:rPr>
        <w:t xml:space="preserve"> </w:t>
      </w:r>
      <w:r>
        <w:rPr>
          <w:rFonts w:hint="eastAsia" w:hAnsi="宋体"/>
          <w:sz w:val="24"/>
          <w:szCs w:val="24"/>
        </w:rPr>
        <w:t>审查卖方提供的详细的功能规范技术文件和图纸，审议并确认工程进度、培训计划和验收试验计划等。</w:t>
      </w:r>
      <w:bookmarkEnd w:id="15"/>
    </w:p>
    <w:p>
      <w:pPr>
        <w:topLinePunct/>
        <w:adjustRightInd w:val="0"/>
        <w:snapToGrid w:val="0"/>
        <w:spacing w:line="360" w:lineRule="auto"/>
        <w:ind w:firstLine="480" w:firstLineChars="200"/>
        <w:rPr>
          <w:sz w:val="24"/>
          <w:szCs w:val="24"/>
        </w:rPr>
      </w:pPr>
      <w:bookmarkStart w:id="16" w:name="_Toc97017844"/>
      <w:r>
        <w:rPr>
          <w:sz w:val="24"/>
          <w:szCs w:val="24"/>
        </w:rPr>
        <w:t>2</w:t>
      </w:r>
      <w:r>
        <w:rPr>
          <w:rFonts w:hint="eastAsia" w:hAnsi="宋体"/>
          <w:sz w:val="24"/>
          <w:szCs w:val="24"/>
        </w:rPr>
        <w:t>）</w:t>
      </w:r>
      <w:r>
        <w:rPr>
          <w:sz w:val="24"/>
          <w:szCs w:val="24"/>
        </w:rPr>
        <w:t xml:space="preserve"> </w:t>
      </w:r>
      <w:r>
        <w:rPr>
          <w:rFonts w:hint="eastAsia" w:hAnsi="宋体"/>
          <w:sz w:val="24"/>
          <w:szCs w:val="24"/>
        </w:rPr>
        <w:t>参加系统的软硬件培训。</w:t>
      </w:r>
      <w:bookmarkEnd w:id="16"/>
    </w:p>
    <w:p>
      <w:pPr>
        <w:topLinePunct/>
        <w:adjustRightInd w:val="0"/>
        <w:snapToGrid w:val="0"/>
        <w:spacing w:line="360" w:lineRule="auto"/>
        <w:ind w:firstLine="480" w:firstLineChars="200"/>
        <w:rPr>
          <w:sz w:val="24"/>
          <w:szCs w:val="24"/>
        </w:rPr>
      </w:pPr>
      <w:bookmarkStart w:id="17" w:name="_Toc97017847"/>
      <w:r>
        <w:rPr>
          <w:sz w:val="24"/>
          <w:szCs w:val="24"/>
        </w:rPr>
        <w:t>3</w:t>
      </w:r>
      <w:r>
        <w:rPr>
          <w:rFonts w:hint="eastAsia" w:hAnsi="宋体"/>
          <w:sz w:val="24"/>
          <w:szCs w:val="24"/>
        </w:rPr>
        <w:t>）</w:t>
      </w:r>
      <w:r>
        <w:rPr>
          <w:sz w:val="24"/>
          <w:szCs w:val="24"/>
        </w:rPr>
        <w:t xml:space="preserve"> </w:t>
      </w:r>
      <w:r>
        <w:rPr>
          <w:rFonts w:hint="eastAsia" w:hAnsi="宋体"/>
          <w:sz w:val="24"/>
          <w:szCs w:val="24"/>
        </w:rPr>
        <w:t>配合卖方进行系统的现场安装、调试。</w:t>
      </w:r>
      <w:bookmarkEnd w:id="17"/>
    </w:p>
    <w:p>
      <w:pPr>
        <w:topLinePunct/>
        <w:adjustRightInd w:val="0"/>
        <w:snapToGrid w:val="0"/>
        <w:spacing w:line="360" w:lineRule="auto"/>
        <w:ind w:firstLine="480" w:firstLineChars="200"/>
        <w:rPr>
          <w:sz w:val="24"/>
          <w:szCs w:val="24"/>
        </w:rPr>
      </w:pPr>
      <w:bookmarkStart w:id="18" w:name="_Toc97017848"/>
      <w:r>
        <w:rPr>
          <w:sz w:val="24"/>
          <w:szCs w:val="24"/>
        </w:rPr>
        <w:t>4</w:t>
      </w:r>
      <w:r>
        <w:rPr>
          <w:rFonts w:hint="eastAsia" w:hAnsi="宋体"/>
          <w:sz w:val="24"/>
          <w:szCs w:val="24"/>
        </w:rPr>
        <w:t>）</w:t>
      </w:r>
      <w:r>
        <w:rPr>
          <w:sz w:val="24"/>
          <w:szCs w:val="24"/>
        </w:rPr>
        <w:t xml:space="preserve"> </w:t>
      </w:r>
      <w:r>
        <w:rPr>
          <w:rFonts w:hint="eastAsia" w:hAnsi="宋体"/>
          <w:sz w:val="24"/>
          <w:szCs w:val="24"/>
        </w:rPr>
        <w:t>提供设备的电源、场地、环境。</w:t>
      </w:r>
      <w:bookmarkEnd w:id="18"/>
    </w:p>
    <w:p>
      <w:pPr>
        <w:adjustRightInd w:val="0"/>
        <w:snapToGrid w:val="0"/>
        <w:spacing w:line="360" w:lineRule="auto"/>
        <w:ind w:firstLine="480" w:firstLineChars="200"/>
        <w:rPr>
          <w:sz w:val="24"/>
          <w:szCs w:val="24"/>
        </w:rPr>
      </w:pPr>
      <w:r>
        <w:rPr>
          <w:rFonts w:hint="eastAsia" w:hAnsi="宋体"/>
          <w:sz w:val="24"/>
          <w:szCs w:val="24"/>
        </w:rPr>
        <w:t>合同签订后卖方应在</w:t>
      </w:r>
      <w:r>
        <w:rPr>
          <w:sz w:val="24"/>
          <w:szCs w:val="24"/>
        </w:rPr>
        <w:t>2</w:t>
      </w:r>
      <w:r>
        <w:rPr>
          <w:rFonts w:hint="eastAsia" w:hAnsi="宋体"/>
          <w:sz w:val="24"/>
          <w:szCs w:val="24"/>
        </w:rPr>
        <w:t>周内向买方提供</w:t>
      </w:r>
      <w:r>
        <w:rPr>
          <w:sz w:val="24"/>
          <w:szCs w:val="24"/>
        </w:rPr>
        <w:t>1</w:t>
      </w:r>
      <w:r>
        <w:rPr>
          <w:rFonts w:hint="eastAsia" w:hAnsi="宋体"/>
          <w:sz w:val="24"/>
          <w:szCs w:val="24"/>
        </w:rPr>
        <w:t>份详尽的工程计划表，包括设备的采购、培训、设备包装运输、安装调试等事项的详细计划，以确定每部分的工作及其进度。</w:t>
      </w:r>
    </w:p>
    <w:p>
      <w:pPr>
        <w:topLinePunct/>
        <w:adjustRightInd w:val="0"/>
        <w:snapToGrid w:val="0"/>
        <w:spacing w:line="360" w:lineRule="auto"/>
        <w:ind w:firstLine="480" w:firstLineChars="200"/>
        <w:rPr>
          <w:sz w:val="24"/>
          <w:szCs w:val="24"/>
        </w:rPr>
      </w:pPr>
      <w:r>
        <w:rPr>
          <w:rFonts w:hint="eastAsia" w:hAnsi="宋体"/>
          <w:sz w:val="24"/>
          <w:szCs w:val="24"/>
        </w:rPr>
        <w:t>交货时间如有延误，卖方应及时将延误交货的原因、后果及采取的补救措施等向买方说明。</w:t>
      </w:r>
    </w:p>
    <w:p>
      <w:pPr>
        <w:topLinePunct/>
        <w:adjustRightInd w:val="0"/>
        <w:snapToGrid w:val="0"/>
        <w:spacing w:line="360" w:lineRule="auto"/>
        <w:rPr>
          <w:sz w:val="24"/>
          <w:szCs w:val="24"/>
        </w:rPr>
      </w:pPr>
      <w:r>
        <w:rPr>
          <w:sz w:val="24"/>
          <w:szCs w:val="24"/>
        </w:rPr>
        <w:t>1.</w:t>
      </w:r>
      <w:r>
        <w:rPr>
          <w:rFonts w:hint="eastAsia"/>
          <w:sz w:val="24"/>
          <w:szCs w:val="24"/>
          <w:lang w:val="en-US" w:eastAsia="zh-CN"/>
        </w:rPr>
        <w:t>8</w:t>
      </w:r>
      <w:r>
        <w:rPr>
          <w:rFonts w:hint="eastAsia" w:hAnsi="宋体"/>
          <w:sz w:val="24"/>
          <w:szCs w:val="24"/>
        </w:rPr>
        <w:t>　随着电网的快速发展和自动化技术的不断发展，本技术规范书应不定期进行更新以适应生产需要，相应设备装置或系统也应同时满足最新生产需要的相应技术要求。</w:t>
      </w:r>
    </w:p>
    <w:p>
      <w:pPr>
        <w:pStyle w:val="13"/>
        <w:adjustRightInd w:val="0"/>
        <w:snapToGrid w:val="0"/>
        <w:spacing w:line="360" w:lineRule="auto"/>
        <w:jc w:val="both"/>
        <w:outlineLvl w:val="0"/>
        <w:rPr>
          <w:rFonts w:ascii="Times New Roman" w:eastAsia="宋体"/>
          <w:b/>
          <w:color w:val="auto"/>
          <w:sz w:val="24"/>
          <w:szCs w:val="24"/>
        </w:rPr>
      </w:pPr>
      <w:bookmarkStart w:id="19" w:name="_Toc247777293"/>
      <w:bookmarkStart w:id="20" w:name="_Toc244072239"/>
      <w:bookmarkStart w:id="21" w:name="_Toc244156672"/>
      <w:bookmarkStart w:id="22" w:name="_Toc103766754"/>
      <w:bookmarkStart w:id="23" w:name="_Toc244156619"/>
      <w:bookmarkStart w:id="24" w:name="_Toc244399768"/>
      <w:r>
        <w:rPr>
          <w:rFonts w:ascii="Times New Roman" w:eastAsia="宋体"/>
          <w:b/>
          <w:color w:val="auto"/>
          <w:sz w:val="24"/>
          <w:szCs w:val="24"/>
        </w:rPr>
        <w:t>2</w:t>
      </w:r>
      <w:r>
        <w:rPr>
          <w:rFonts w:hint="eastAsia" w:ascii="Times New Roman" w:hAnsi="宋体" w:eastAsia="宋体"/>
          <w:b/>
          <w:color w:val="auto"/>
          <w:sz w:val="24"/>
          <w:szCs w:val="24"/>
        </w:rPr>
        <w:t>　标准规范</w:t>
      </w:r>
      <w:bookmarkEnd w:id="19"/>
      <w:bookmarkEnd w:id="20"/>
      <w:bookmarkEnd w:id="21"/>
      <w:bookmarkEnd w:id="22"/>
      <w:bookmarkEnd w:id="23"/>
      <w:bookmarkEnd w:id="24"/>
    </w:p>
    <w:p>
      <w:pPr>
        <w:topLinePunct/>
        <w:adjustRightInd w:val="0"/>
        <w:snapToGrid w:val="0"/>
        <w:spacing w:line="360" w:lineRule="auto"/>
        <w:ind w:firstLine="480" w:firstLineChars="200"/>
        <w:rPr>
          <w:sz w:val="24"/>
          <w:szCs w:val="24"/>
        </w:rPr>
      </w:pPr>
      <w:r>
        <w:rPr>
          <w:rFonts w:hint="eastAsia" w:hAnsi="宋体"/>
          <w:sz w:val="24"/>
          <w:szCs w:val="24"/>
        </w:rPr>
        <w:t>除本技术规范书特别规定外，卖方所提供的设备均应按下列标准和规定进行设计、制造、检验和安装。所用的标准必须是其最新版本。如果这些标准内容矛盾时，应按最高标准的条款执行或按双方商定的标准执行。如果卖方选用标书规定以外的标准时，需提交与这种替换标准相当的或优于标书规定标准的证明。</w:t>
      </w:r>
    </w:p>
    <w:p>
      <w:pPr>
        <w:pStyle w:val="15"/>
        <w:adjustRightInd w:val="0"/>
        <w:snapToGrid w:val="0"/>
        <w:spacing w:before="0" w:after="0" w:line="360" w:lineRule="auto"/>
        <w:ind w:firstLine="480" w:firstLineChars="200"/>
        <w:jc w:val="both"/>
        <w:rPr>
          <w:rFonts w:ascii="Times New Roman" w:eastAsia="宋体"/>
          <w:sz w:val="24"/>
          <w:szCs w:val="24"/>
        </w:rPr>
      </w:pPr>
      <w:r>
        <w:rPr>
          <w:rFonts w:hint="eastAsia" w:ascii="Times New Roman" w:hAnsi="宋体" w:eastAsia="宋体"/>
          <w:sz w:val="24"/>
          <w:szCs w:val="24"/>
        </w:rPr>
        <w:t>表</w:t>
      </w:r>
      <w:r>
        <w:rPr>
          <w:rFonts w:ascii="Times New Roman" w:eastAsia="宋体"/>
          <w:sz w:val="24"/>
          <w:szCs w:val="24"/>
        </w:rPr>
        <w:t>1</w:t>
      </w:r>
      <w:r>
        <w:rPr>
          <w:rFonts w:hint="eastAsia" w:ascii="Times New Roman" w:hAnsi="宋体" w:eastAsia="宋体"/>
          <w:sz w:val="24"/>
          <w:szCs w:val="24"/>
        </w:rPr>
        <w:t>　</w:t>
      </w:r>
      <w:r>
        <w:rPr>
          <w:rFonts w:ascii="Times New Roman" w:hAnsi="宋体" w:eastAsia="宋体"/>
          <w:sz w:val="24"/>
          <w:szCs w:val="24"/>
        </w:rPr>
        <w:t xml:space="preserve">                   </w:t>
      </w:r>
      <w:r>
        <w:rPr>
          <w:rFonts w:hint="eastAsia" w:ascii="Times New Roman" w:hAnsi="宋体" w:eastAsia="宋体"/>
          <w:sz w:val="24"/>
          <w:szCs w:val="24"/>
        </w:rPr>
        <w:t>技术规范引用标准</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1、《智能建筑设计标准》(GB 50314-2015)；</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2、《综合布线系统工程设计规范》（GB 50311-2016）；</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3、《安全防范工程技术标准》（GB 50348-2018）；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4、《视频安防监控系统工程设计规范》（GB 50395-2007）；</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5、《视频显示系统工程技术规范》（GB 50464-2008）；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6、《计算机场地通用规范》（GB/T2887-2011）；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7、《数据中心设计规范》（GB 50174-2017）；</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8、《电子工程防静电设计规范》（GB 50611-2010）；</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9、《建筑物防雷设计规范》（GB50057-2010）；</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10、《防静电活动地板通用规范》（SJ/T10796-2001）；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11、《通信电源设备安装工程设计规范》（GB 51194-2016）；</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12、《电力工程电缆设计规范》（GB50217-2018）；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13、《民用闭路监视电视系统工程技术规范》（GB 50198-2011）；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14、《民用建筑供暖通风与空气调节设计规范》（B50736-2012）；</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15、《低压配电系统设计规范》（GB50054-2011）；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16、《通用用电设备配电设计规范》（GB 50055-2011）；</w:t>
      </w:r>
    </w:p>
    <w:p>
      <w:pPr>
        <w:topLinePunct/>
        <w:adjustRightInd w:val="0"/>
        <w:snapToGrid w:val="0"/>
        <w:spacing w:before="156" w:beforeLines="50" w:line="360" w:lineRule="auto"/>
        <w:ind w:firstLine="480" w:firstLineChars="200"/>
        <w:rPr>
          <w:sz w:val="24"/>
          <w:szCs w:val="24"/>
        </w:rPr>
      </w:pPr>
      <w:r>
        <w:rPr>
          <w:rFonts w:hint="eastAsia" w:hAnsi="宋体"/>
          <w:sz w:val="24"/>
          <w:szCs w:val="24"/>
        </w:rPr>
        <w:t>卖方提供的所有设备、备品备件、软件系统，除本规范书中更优的技术参数和要求外，其余均应遵照最新版本的中国信息产业部颁布的标准、国际电信同盟（</w:t>
      </w:r>
      <w:r>
        <w:rPr>
          <w:sz w:val="24"/>
          <w:szCs w:val="24"/>
        </w:rPr>
        <w:t>ITU</w:t>
      </w:r>
      <w:r>
        <w:rPr>
          <w:rFonts w:hint="eastAsia" w:hAnsi="宋体"/>
          <w:sz w:val="24"/>
          <w:szCs w:val="24"/>
        </w:rPr>
        <w:t>）、国际电工委员会标准（</w:t>
      </w:r>
      <w:r>
        <w:rPr>
          <w:sz w:val="24"/>
          <w:szCs w:val="24"/>
        </w:rPr>
        <w:t>IEC</w:t>
      </w:r>
      <w:r>
        <w:rPr>
          <w:rFonts w:hint="eastAsia" w:hAnsi="宋体"/>
          <w:sz w:val="24"/>
          <w:szCs w:val="24"/>
        </w:rPr>
        <w:t>）、国际公制（</w:t>
      </w:r>
      <w:r>
        <w:rPr>
          <w:sz w:val="24"/>
          <w:szCs w:val="24"/>
        </w:rPr>
        <w:t>SI</w:t>
      </w:r>
      <w:r>
        <w:rPr>
          <w:rFonts w:hint="eastAsia" w:hAnsi="宋体"/>
          <w:sz w:val="24"/>
          <w:szCs w:val="24"/>
        </w:rPr>
        <w:t>）、国际化标准组织（</w:t>
      </w:r>
      <w:r>
        <w:rPr>
          <w:sz w:val="24"/>
          <w:szCs w:val="24"/>
        </w:rPr>
        <w:t>ISO</w:t>
      </w:r>
      <w:r>
        <w:rPr>
          <w:rFonts w:hint="eastAsia" w:hAnsi="宋体"/>
          <w:sz w:val="24"/>
          <w:szCs w:val="24"/>
        </w:rPr>
        <w:t>）及国家标准，这是对设备的最低要求。</w:t>
      </w:r>
    </w:p>
    <w:p>
      <w:pPr>
        <w:topLinePunct/>
        <w:adjustRightInd w:val="0"/>
        <w:snapToGrid w:val="0"/>
        <w:spacing w:line="360" w:lineRule="auto"/>
        <w:ind w:firstLine="480" w:firstLineChars="200"/>
        <w:rPr>
          <w:sz w:val="24"/>
          <w:szCs w:val="24"/>
        </w:rPr>
      </w:pPr>
      <w:r>
        <w:rPr>
          <w:rFonts w:hint="eastAsia" w:hAnsi="宋体"/>
          <w:sz w:val="24"/>
          <w:szCs w:val="24"/>
        </w:rPr>
        <w:t>如果卖方有自己的专有标准或规范，应在建议书中具体说明，并附上相应的详细技术资料，但必须优于上述标准的有关规定。</w:t>
      </w:r>
    </w:p>
    <w:p>
      <w:pPr>
        <w:pStyle w:val="13"/>
        <w:adjustRightInd w:val="0"/>
        <w:snapToGrid w:val="0"/>
        <w:spacing w:line="360" w:lineRule="auto"/>
        <w:jc w:val="both"/>
        <w:outlineLvl w:val="0"/>
        <w:rPr>
          <w:rFonts w:ascii="Times New Roman" w:eastAsia="宋体"/>
          <w:b/>
          <w:color w:val="auto"/>
          <w:sz w:val="24"/>
          <w:szCs w:val="24"/>
        </w:rPr>
      </w:pPr>
      <w:bookmarkStart w:id="25" w:name="_Toc199750185"/>
      <w:bookmarkEnd w:id="25"/>
      <w:bookmarkStart w:id="26" w:name="_Toc199750137"/>
      <w:bookmarkEnd w:id="26"/>
      <w:bookmarkStart w:id="27" w:name="_Toc199750144"/>
      <w:bookmarkEnd w:id="27"/>
      <w:bookmarkStart w:id="28" w:name="_Toc199750152"/>
      <w:bookmarkEnd w:id="28"/>
      <w:bookmarkStart w:id="29" w:name="_Toc199750151"/>
      <w:bookmarkEnd w:id="29"/>
      <w:bookmarkStart w:id="30" w:name="_Toc199750169"/>
      <w:bookmarkEnd w:id="30"/>
      <w:bookmarkStart w:id="31" w:name="_Toc199750135"/>
      <w:bookmarkEnd w:id="31"/>
      <w:bookmarkStart w:id="32" w:name="_Toc199750176"/>
      <w:bookmarkEnd w:id="32"/>
      <w:bookmarkStart w:id="33" w:name="_Toc199750140"/>
      <w:bookmarkEnd w:id="33"/>
      <w:bookmarkStart w:id="34" w:name="_Toc199750173"/>
      <w:bookmarkEnd w:id="34"/>
      <w:bookmarkStart w:id="35" w:name="_Toc199750180"/>
      <w:bookmarkEnd w:id="35"/>
      <w:bookmarkStart w:id="36" w:name="_Toc199750182"/>
      <w:bookmarkEnd w:id="36"/>
      <w:bookmarkStart w:id="37" w:name="_Toc199750177"/>
      <w:bookmarkEnd w:id="37"/>
      <w:bookmarkStart w:id="38" w:name="_Toc199750166"/>
      <w:bookmarkEnd w:id="38"/>
      <w:bookmarkStart w:id="39" w:name="_Toc199750186"/>
      <w:bookmarkEnd w:id="39"/>
      <w:bookmarkStart w:id="40" w:name="_Toc199750178"/>
      <w:bookmarkEnd w:id="40"/>
      <w:bookmarkStart w:id="41" w:name="_Toc199750150"/>
      <w:bookmarkEnd w:id="41"/>
      <w:bookmarkStart w:id="42" w:name="_Toc199750172"/>
      <w:bookmarkEnd w:id="42"/>
      <w:bookmarkStart w:id="43" w:name="_Toc199750171"/>
      <w:bookmarkEnd w:id="43"/>
      <w:bookmarkStart w:id="44" w:name="_Toc199750168"/>
      <w:bookmarkEnd w:id="44"/>
      <w:bookmarkStart w:id="45" w:name="_Toc199750143"/>
      <w:bookmarkEnd w:id="45"/>
      <w:bookmarkStart w:id="46" w:name="_Toc199750167"/>
      <w:bookmarkEnd w:id="46"/>
      <w:bookmarkStart w:id="47" w:name="_Toc199750149"/>
      <w:bookmarkEnd w:id="47"/>
      <w:bookmarkStart w:id="48" w:name="_Toc199750138"/>
      <w:bookmarkEnd w:id="48"/>
      <w:bookmarkStart w:id="49" w:name="_Toc199750153"/>
      <w:bookmarkEnd w:id="49"/>
      <w:bookmarkStart w:id="50" w:name="_Toc199750181"/>
      <w:bookmarkEnd w:id="50"/>
      <w:bookmarkStart w:id="51" w:name="_Toc199750141"/>
      <w:bookmarkEnd w:id="51"/>
      <w:bookmarkStart w:id="52" w:name="_Toc199750170"/>
      <w:bookmarkEnd w:id="52"/>
      <w:bookmarkStart w:id="53" w:name="_Toc199750154"/>
      <w:bookmarkEnd w:id="53"/>
      <w:bookmarkStart w:id="54" w:name="_Toc199750147"/>
      <w:bookmarkEnd w:id="54"/>
      <w:bookmarkStart w:id="55" w:name="_Toc199750183"/>
      <w:bookmarkEnd w:id="55"/>
      <w:bookmarkStart w:id="56" w:name="_Toc199750175"/>
      <w:bookmarkEnd w:id="56"/>
      <w:bookmarkStart w:id="57" w:name="_Toc199750142"/>
      <w:bookmarkEnd w:id="57"/>
      <w:bookmarkStart w:id="58" w:name="_Toc199750174"/>
      <w:bookmarkEnd w:id="58"/>
      <w:bookmarkStart w:id="59" w:name="_Toc199750148"/>
      <w:bookmarkEnd w:id="59"/>
      <w:bookmarkStart w:id="60" w:name="_Toc199750146"/>
      <w:bookmarkEnd w:id="60"/>
      <w:bookmarkStart w:id="61" w:name="_Toc199750139"/>
      <w:bookmarkEnd w:id="61"/>
      <w:bookmarkStart w:id="62" w:name="_Toc199750155"/>
      <w:bookmarkEnd w:id="62"/>
      <w:bookmarkStart w:id="63" w:name="_Toc199750145"/>
      <w:bookmarkEnd w:id="63"/>
      <w:bookmarkStart w:id="64" w:name="_Toc199750179"/>
      <w:bookmarkEnd w:id="64"/>
      <w:bookmarkStart w:id="65" w:name="_Toc199750184"/>
      <w:bookmarkEnd w:id="65"/>
      <w:bookmarkStart w:id="66" w:name="_Toc199750136"/>
      <w:bookmarkEnd w:id="66"/>
      <w:bookmarkStart w:id="67" w:name="_Toc244399770"/>
      <w:bookmarkStart w:id="68" w:name="_Toc247777298"/>
      <w:bookmarkStart w:id="69" w:name="_Toc103766755"/>
      <w:bookmarkStart w:id="70" w:name="_Toc97018131"/>
      <w:bookmarkStart w:id="71" w:name="_Toc97018538"/>
      <w:r>
        <w:rPr>
          <w:rFonts w:ascii="Times New Roman" w:eastAsia="宋体"/>
          <w:b/>
          <w:color w:val="auto"/>
          <w:sz w:val="24"/>
          <w:szCs w:val="24"/>
        </w:rPr>
        <w:t>3</w:t>
      </w:r>
      <w:r>
        <w:rPr>
          <w:rFonts w:hint="eastAsia" w:ascii="Times New Roman" w:hAnsi="宋体" w:eastAsia="宋体"/>
          <w:b/>
          <w:color w:val="auto"/>
          <w:sz w:val="24"/>
          <w:szCs w:val="24"/>
        </w:rPr>
        <w:t>　以太网交换机技术要求</w:t>
      </w:r>
      <w:bookmarkEnd w:id="67"/>
      <w:bookmarkEnd w:id="68"/>
      <w:bookmarkEnd w:id="69"/>
    </w:p>
    <w:p>
      <w:pPr>
        <w:pStyle w:val="16"/>
        <w:adjustRightInd w:val="0"/>
        <w:snapToGrid w:val="0"/>
        <w:spacing w:line="360" w:lineRule="auto"/>
        <w:rPr>
          <w:rFonts w:ascii="Times New Roman" w:eastAsia="宋体"/>
          <w:color w:val="auto"/>
          <w:sz w:val="24"/>
          <w:szCs w:val="24"/>
        </w:rPr>
      </w:pPr>
      <w:bookmarkStart w:id="72" w:name="_Toc247777299"/>
      <w:r>
        <w:rPr>
          <w:rFonts w:ascii="Times New Roman" w:eastAsia="宋体"/>
          <w:color w:val="auto"/>
          <w:sz w:val="24"/>
          <w:szCs w:val="24"/>
        </w:rPr>
        <w:t>3.1</w:t>
      </w:r>
      <w:r>
        <w:rPr>
          <w:rFonts w:hint="eastAsia" w:ascii="Times New Roman" w:hAnsi="宋体" w:eastAsia="宋体"/>
          <w:color w:val="auto"/>
          <w:sz w:val="24"/>
          <w:szCs w:val="24"/>
        </w:rPr>
        <w:t>　环境要求</w:t>
      </w:r>
      <w:bookmarkEnd w:id="72"/>
    </w:p>
    <w:p>
      <w:pPr>
        <w:topLinePunct/>
        <w:adjustRightInd w:val="0"/>
        <w:snapToGrid w:val="0"/>
        <w:spacing w:line="360" w:lineRule="auto"/>
        <w:ind w:firstLine="480" w:firstLineChars="200"/>
        <w:rPr>
          <w:sz w:val="24"/>
          <w:szCs w:val="24"/>
        </w:rPr>
      </w:pPr>
      <w:r>
        <w:rPr>
          <w:sz w:val="24"/>
          <w:szCs w:val="24"/>
        </w:rPr>
        <w:t>1</w:t>
      </w:r>
      <w:r>
        <w:rPr>
          <w:rFonts w:hint="eastAsia" w:hAnsi="宋体"/>
          <w:sz w:val="24"/>
          <w:szCs w:val="24"/>
        </w:rPr>
        <w:t>）</w:t>
      </w:r>
      <w:r>
        <w:rPr>
          <w:sz w:val="24"/>
          <w:szCs w:val="24"/>
        </w:rPr>
        <w:tab/>
      </w:r>
      <w:r>
        <w:rPr>
          <w:rFonts w:hint="eastAsia" w:hAnsi="宋体"/>
          <w:sz w:val="24"/>
          <w:szCs w:val="24"/>
        </w:rPr>
        <w:t>环境温度：</w:t>
      </w:r>
      <w:r>
        <w:rPr>
          <w:sz w:val="24"/>
          <w:szCs w:val="24"/>
        </w:rPr>
        <w:t>–10</w:t>
      </w:r>
      <w:r>
        <w:rPr>
          <w:rFonts w:hint="eastAsia" w:hAnsi="宋体"/>
          <w:sz w:val="24"/>
          <w:szCs w:val="24"/>
        </w:rPr>
        <w:t>℃～</w:t>
      </w:r>
      <w:r>
        <w:rPr>
          <w:sz w:val="24"/>
          <w:szCs w:val="24"/>
        </w:rPr>
        <w:t>+50</w:t>
      </w:r>
      <w:r>
        <w:rPr>
          <w:rFonts w:hint="eastAsia" w:hAnsi="宋体"/>
          <w:sz w:val="24"/>
          <w:szCs w:val="24"/>
        </w:rPr>
        <w:t>℃。</w:t>
      </w:r>
    </w:p>
    <w:p>
      <w:pPr>
        <w:topLinePunct/>
        <w:adjustRightInd w:val="0"/>
        <w:snapToGrid w:val="0"/>
        <w:spacing w:line="360" w:lineRule="auto"/>
        <w:ind w:firstLine="480" w:firstLineChars="200"/>
        <w:rPr>
          <w:sz w:val="24"/>
          <w:szCs w:val="24"/>
        </w:rPr>
      </w:pPr>
      <w:r>
        <w:rPr>
          <w:sz w:val="24"/>
          <w:szCs w:val="24"/>
        </w:rPr>
        <w:t>2</w:t>
      </w:r>
      <w:r>
        <w:rPr>
          <w:rFonts w:hint="eastAsia" w:hAnsi="宋体"/>
          <w:sz w:val="24"/>
          <w:szCs w:val="24"/>
        </w:rPr>
        <w:t>）</w:t>
      </w:r>
      <w:r>
        <w:rPr>
          <w:sz w:val="24"/>
          <w:szCs w:val="24"/>
        </w:rPr>
        <w:tab/>
      </w:r>
      <w:r>
        <w:rPr>
          <w:rFonts w:hint="eastAsia" w:hAnsi="宋体"/>
          <w:sz w:val="24"/>
          <w:szCs w:val="24"/>
        </w:rPr>
        <w:t>相对湿度：</w:t>
      </w:r>
      <w:r>
        <w:rPr>
          <w:sz w:val="24"/>
          <w:szCs w:val="24"/>
        </w:rPr>
        <w:t>10</w:t>
      </w:r>
      <w:r>
        <w:rPr>
          <w:rFonts w:hint="eastAsia" w:hAnsi="宋体"/>
          <w:sz w:val="24"/>
          <w:szCs w:val="24"/>
        </w:rPr>
        <w:t>％～</w:t>
      </w:r>
      <w:r>
        <w:rPr>
          <w:sz w:val="24"/>
          <w:szCs w:val="24"/>
        </w:rPr>
        <w:t>95</w:t>
      </w:r>
      <w:r>
        <w:rPr>
          <w:rFonts w:hint="eastAsia" w:hAnsi="宋体"/>
          <w:sz w:val="24"/>
          <w:szCs w:val="24"/>
        </w:rPr>
        <w:t>％（在交换机内部不应凝露，也不应结冰）。</w:t>
      </w:r>
    </w:p>
    <w:p>
      <w:pPr>
        <w:topLinePunct/>
        <w:adjustRightInd w:val="0"/>
        <w:snapToGrid w:val="0"/>
        <w:spacing w:line="360" w:lineRule="auto"/>
        <w:ind w:firstLine="480" w:firstLineChars="200"/>
        <w:rPr>
          <w:sz w:val="24"/>
          <w:szCs w:val="24"/>
        </w:rPr>
      </w:pPr>
      <w:r>
        <w:rPr>
          <w:sz w:val="24"/>
          <w:szCs w:val="24"/>
        </w:rPr>
        <w:t>3</w:t>
      </w:r>
      <w:r>
        <w:rPr>
          <w:rFonts w:hint="eastAsia" w:hAnsi="宋体"/>
          <w:sz w:val="24"/>
          <w:szCs w:val="24"/>
        </w:rPr>
        <w:t>）</w:t>
      </w:r>
      <w:r>
        <w:rPr>
          <w:sz w:val="24"/>
          <w:szCs w:val="24"/>
        </w:rPr>
        <w:tab/>
      </w:r>
      <w:r>
        <w:rPr>
          <w:rFonts w:hint="eastAsia" w:hAnsi="宋体"/>
          <w:sz w:val="24"/>
          <w:szCs w:val="24"/>
        </w:rPr>
        <w:t>大气压力：</w:t>
      </w:r>
      <w:r>
        <w:rPr>
          <w:sz w:val="24"/>
          <w:szCs w:val="24"/>
        </w:rPr>
        <w:t>86kPa</w:t>
      </w:r>
      <w:r>
        <w:rPr>
          <w:rFonts w:hint="eastAsia" w:hAnsi="宋体"/>
          <w:sz w:val="24"/>
          <w:szCs w:val="24"/>
        </w:rPr>
        <w:t>～</w:t>
      </w:r>
      <w:r>
        <w:rPr>
          <w:sz w:val="24"/>
          <w:szCs w:val="24"/>
        </w:rPr>
        <w:t>106kPa</w:t>
      </w:r>
      <w:r>
        <w:rPr>
          <w:rFonts w:hint="eastAsia" w:hAnsi="宋体"/>
          <w:sz w:val="24"/>
          <w:szCs w:val="24"/>
        </w:rPr>
        <w:t>（海拔</w:t>
      </w:r>
      <w:r>
        <w:rPr>
          <w:sz w:val="24"/>
          <w:szCs w:val="24"/>
        </w:rPr>
        <w:t>2000m</w:t>
      </w:r>
      <w:r>
        <w:rPr>
          <w:rFonts w:hint="eastAsia" w:hAnsi="宋体"/>
          <w:sz w:val="24"/>
          <w:szCs w:val="24"/>
        </w:rPr>
        <w:t>以下）。</w:t>
      </w:r>
    </w:p>
    <w:p>
      <w:pPr>
        <w:pStyle w:val="16"/>
        <w:adjustRightInd w:val="0"/>
        <w:snapToGrid w:val="0"/>
        <w:spacing w:line="360" w:lineRule="auto"/>
        <w:rPr>
          <w:rFonts w:ascii="Times New Roman" w:eastAsia="宋体"/>
          <w:color w:val="auto"/>
          <w:sz w:val="24"/>
          <w:szCs w:val="24"/>
        </w:rPr>
      </w:pPr>
      <w:bookmarkStart w:id="73" w:name="_Toc247777300"/>
      <w:r>
        <w:rPr>
          <w:rFonts w:ascii="Times New Roman" w:eastAsia="宋体"/>
          <w:color w:val="auto"/>
          <w:sz w:val="24"/>
          <w:szCs w:val="24"/>
        </w:rPr>
        <w:t>3.2</w:t>
      </w:r>
      <w:r>
        <w:rPr>
          <w:rFonts w:hint="eastAsia" w:ascii="Times New Roman" w:hAnsi="宋体" w:eastAsia="宋体"/>
          <w:color w:val="auto"/>
          <w:sz w:val="24"/>
          <w:szCs w:val="24"/>
        </w:rPr>
        <w:t>　机箱尺寸</w:t>
      </w:r>
      <w:bookmarkEnd w:id="73"/>
    </w:p>
    <w:p>
      <w:pPr>
        <w:topLinePunct/>
        <w:adjustRightInd w:val="0"/>
        <w:snapToGrid w:val="0"/>
        <w:spacing w:line="360" w:lineRule="auto"/>
        <w:ind w:firstLine="480" w:firstLineChars="200"/>
        <w:rPr>
          <w:sz w:val="24"/>
          <w:szCs w:val="24"/>
        </w:rPr>
      </w:pPr>
      <w:r>
        <w:rPr>
          <w:rFonts w:hint="eastAsia" w:hAnsi="宋体"/>
          <w:sz w:val="24"/>
          <w:szCs w:val="24"/>
        </w:rPr>
        <w:t>为便于安装，在变电站内应用交换机采用标准</w:t>
      </w:r>
      <w:r>
        <w:rPr>
          <w:sz w:val="24"/>
          <w:szCs w:val="24"/>
        </w:rPr>
        <w:t>19</w:t>
      </w:r>
      <w:r>
        <w:rPr>
          <w:rFonts w:hint="eastAsia" w:hAnsi="宋体"/>
          <w:sz w:val="24"/>
          <w:szCs w:val="24"/>
        </w:rPr>
        <w:t>英寸机箱，高度采用</w:t>
      </w:r>
      <w:r>
        <w:rPr>
          <w:sz w:val="24"/>
          <w:szCs w:val="24"/>
        </w:rPr>
        <w:t>1U</w:t>
      </w:r>
      <w:r>
        <w:rPr>
          <w:rFonts w:hint="eastAsia" w:hAnsi="宋体"/>
          <w:sz w:val="24"/>
          <w:szCs w:val="24"/>
        </w:rPr>
        <w:t>的整数倍，深度可以视具体情况而定；其他环境应用交换机暂不做规定。</w:t>
      </w:r>
    </w:p>
    <w:p>
      <w:pPr>
        <w:pStyle w:val="16"/>
        <w:adjustRightInd w:val="0"/>
        <w:snapToGrid w:val="0"/>
        <w:spacing w:line="360" w:lineRule="auto"/>
        <w:rPr>
          <w:rFonts w:ascii="Times New Roman" w:eastAsia="宋体"/>
          <w:color w:val="auto"/>
          <w:sz w:val="24"/>
          <w:szCs w:val="24"/>
        </w:rPr>
      </w:pPr>
      <w:bookmarkStart w:id="74" w:name="_Toc247777301"/>
      <w:r>
        <w:rPr>
          <w:rFonts w:ascii="Times New Roman" w:eastAsia="宋体"/>
          <w:color w:val="auto"/>
          <w:sz w:val="24"/>
          <w:szCs w:val="24"/>
        </w:rPr>
        <w:t>3.3</w:t>
      </w:r>
      <w:r>
        <w:rPr>
          <w:rFonts w:hint="eastAsia" w:ascii="Times New Roman" w:hAnsi="宋体" w:eastAsia="宋体"/>
          <w:color w:val="auto"/>
          <w:sz w:val="24"/>
          <w:szCs w:val="24"/>
        </w:rPr>
        <w:t>　接地要求</w:t>
      </w:r>
      <w:bookmarkEnd w:id="74"/>
    </w:p>
    <w:p>
      <w:pPr>
        <w:topLinePunct/>
        <w:adjustRightInd w:val="0"/>
        <w:snapToGrid w:val="0"/>
        <w:spacing w:line="360" w:lineRule="auto"/>
        <w:ind w:firstLine="480" w:firstLineChars="200"/>
        <w:rPr>
          <w:sz w:val="24"/>
          <w:szCs w:val="24"/>
        </w:rPr>
      </w:pPr>
      <w:r>
        <w:rPr>
          <w:rFonts w:hint="eastAsia" w:hAnsi="宋体"/>
          <w:sz w:val="24"/>
          <w:szCs w:val="24"/>
        </w:rPr>
        <w:t>交换机应当具有接地端子，并应有相应的标识。</w:t>
      </w:r>
    </w:p>
    <w:p>
      <w:pPr>
        <w:pStyle w:val="16"/>
        <w:adjustRightInd w:val="0"/>
        <w:snapToGrid w:val="0"/>
        <w:spacing w:line="360" w:lineRule="auto"/>
        <w:rPr>
          <w:rFonts w:ascii="Times New Roman" w:eastAsia="宋体"/>
          <w:color w:val="auto"/>
          <w:sz w:val="24"/>
          <w:szCs w:val="24"/>
        </w:rPr>
      </w:pPr>
      <w:bookmarkStart w:id="75" w:name="_Toc247777302"/>
      <w:r>
        <w:rPr>
          <w:rFonts w:ascii="Times New Roman" w:eastAsia="宋体"/>
          <w:color w:val="auto"/>
          <w:sz w:val="24"/>
          <w:szCs w:val="24"/>
        </w:rPr>
        <w:t>3.4</w:t>
      </w:r>
      <w:r>
        <w:rPr>
          <w:rFonts w:hint="eastAsia" w:ascii="Times New Roman" w:hAnsi="宋体" w:eastAsia="宋体"/>
          <w:color w:val="auto"/>
          <w:sz w:val="24"/>
          <w:szCs w:val="24"/>
        </w:rPr>
        <w:t>　基本功能</w:t>
      </w:r>
      <w:bookmarkEnd w:id="75"/>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3.4.1</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数据帧转发。交换机应支持电力相关协议数据的转发功能，如</w:t>
      </w:r>
      <w:r>
        <w:rPr>
          <w:rFonts w:ascii="Times New Roman" w:eastAsia="宋体"/>
          <w:color w:val="auto"/>
          <w:kern w:val="0"/>
          <w:sz w:val="24"/>
          <w:szCs w:val="24"/>
        </w:rPr>
        <w:t>IEC 60870-5-104</w:t>
      </w:r>
      <w:r>
        <w:rPr>
          <w:rFonts w:hint="eastAsia" w:ascii="Times New Roman" w:hAnsi="宋体" w:eastAsia="宋体"/>
          <w:color w:val="auto"/>
          <w:kern w:val="0"/>
          <w:sz w:val="24"/>
          <w:szCs w:val="24"/>
        </w:rPr>
        <w:t>、</w:t>
      </w:r>
      <w:r>
        <w:rPr>
          <w:rFonts w:ascii="Times New Roman" w:eastAsia="宋体"/>
          <w:color w:val="auto"/>
          <w:kern w:val="0"/>
          <w:sz w:val="24"/>
          <w:szCs w:val="24"/>
        </w:rPr>
        <w:t>IEC 61850</w:t>
      </w:r>
      <w:r>
        <w:rPr>
          <w:rFonts w:hint="eastAsia" w:ascii="Times New Roman" w:hAnsi="宋体" w:eastAsia="宋体"/>
          <w:color w:val="auto"/>
          <w:kern w:val="0"/>
          <w:sz w:val="24"/>
          <w:szCs w:val="24"/>
        </w:rPr>
        <w:t>相关协议的数据帧转发。</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3.4.2</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数据帧过滤。交换机应实现基于</w:t>
      </w:r>
      <w:r>
        <w:rPr>
          <w:rFonts w:ascii="Times New Roman" w:eastAsia="宋体"/>
          <w:color w:val="auto"/>
          <w:kern w:val="0"/>
          <w:sz w:val="24"/>
          <w:szCs w:val="24"/>
        </w:rPr>
        <w:t>IP</w:t>
      </w:r>
      <w:r>
        <w:rPr>
          <w:rFonts w:hint="eastAsia" w:ascii="Times New Roman" w:hAnsi="宋体" w:eastAsia="宋体"/>
          <w:color w:val="auto"/>
          <w:kern w:val="0"/>
          <w:sz w:val="24"/>
          <w:szCs w:val="24"/>
        </w:rPr>
        <w:t>或</w:t>
      </w:r>
      <w:r>
        <w:rPr>
          <w:rFonts w:ascii="Times New Roman" w:eastAsia="宋体"/>
          <w:color w:val="auto"/>
          <w:kern w:val="0"/>
          <w:sz w:val="24"/>
          <w:szCs w:val="24"/>
        </w:rPr>
        <w:t>MAC</w:t>
      </w:r>
      <w:r>
        <w:rPr>
          <w:rFonts w:hint="eastAsia" w:ascii="Times New Roman" w:hAnsi="宋体" w:eastAsia="宋体"/>
          <w:color w:val="auto"/>
          <w:kern w:val="0"/>
          <w:sz w:val="24"/>
          <w:szCs w:val="24"/>
        </w:rPr>
        <w:t>地址的数据帧过滤功能。</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3.4.3</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网络管理。</w:t>
      </w:r>
    </w:p>
    <w:p>
      <w:pPr>
        <w:topLinePunct/>
        <w:adjustRightInd w:val="0"/>
        <w:snapToGrid w:val="0"/>
        <w:spacing w:line="360" w:lineRule="auto"/>
        <w:ind w:firstLine="480" w:firstLineChars="200"/>
        <w:rPr>
          <w:sz w:val="24"/>
          <w:szCs w:val="24"/>
        </w:rPr>
      </w:pPr>
      <w:r>
        <w:rPr>
          <w:sz w:val="24"/>
          <w:szCs w:val="24"/>
        </w:rPr>
        <w:t>1</w:t>
      </w:r>
      <w:r>
        <w:rPr>
          <w:rFonts w:hint="eastAsia" w:hAnsi="宋体"/>
          <w:sz w:val="24"/>
          <w:szCs w:val="24"/>
        </w:rPr>
        <w:t>）</w:t>
      </w:r>
      <w:r>
        <w:rPr>
          <w:sz w:val="24"/>
          <w:szCs w:val="24"/>
        </w:rPr>
        <w:tab/>
      </w:r>
      <w:r>
        <w:rPr>
          <w:rFonts w:hint="eastAsia" w:hAnsi="宋体"/>
          <w:sz w:val="24"/>
          <w:szCs w:val="24"/>
        </w:rPr>
        <w:t>支持简单网络管理协议（</w:t>
      </w:r>
      <w:r>
        <w:rPr>
          <w:sz w:val="24"/>
          <w:szCs w:val="24"/>
        </w:rPr>
        <w:t>SNMPv2</w:t>
      </w:r>
      <w:r>
        <w:rPr>
          <w:rFonts w:hint="eastAsia" w:hAnsi="宋体"/>
          <w:sz w:val="24"/>
          <w:szCs w:val="24"/>
        </w:rPr>
        <w:t>）；</w:t>
      </w:r>
    </w:p>
    <w:p>
      <w:pPr>
        <w:topLinePunct/>
        <w:adjustRightInd w:val="0"/>
        <w:snapToGrid w:val="0"/>
        <w:spacing w:line="360" w:lineRule="auto"/>
        <w:ind w:firstLine="480" w:firstLineChars="200"/>
        <w:rPr>
          <w:sz w:val="24"/>
          <w:szCs w:val="24"/>
        </w:rPr>
      </w:pPr>
      <w:r>
        <w:rPr>
          <w:sz w:val="24"/>
          <w:szCs w:val="24"/>
        </w:rPr>
        <w:t>2</w:t>
      </w:r>
      <w:r>
        <w:rPr>
          <w:rFonts w:hint="eastAsia" w:hAnsi="宋体"/>
          <w:sz w:val="24"/>
          <w:szCs w:val="24"/>
        </w:rPr>
        <w:t>）</w:t>
      </w:r>
      <w:r>
        <w:rPr>
          <w:sz w:val="24"/>
          <w:szCs w:val="24"/>
        </w:rPr>
        <w:tab/>
      </w:r>
      <w:r>
        <w:rPr>
          <w:rFonts w:hint="eastAsia" w:hAnsi="宋体"/>
          <w:sz w:val="24"/>
          <w:szCs w:val="24"/>
        </w:rPr>
        <w:t>提供安全</w:t>
      </w:r>
      <w:r>
        <w:rPr>
          <w:sz w:val="24"/>
          <w:szCs w:val="24"/>
        </w:rPr>
        <w:t>WEB</w:t>
      </w:r>
      <w:r>
        <w:rPr>
          <w:rFonts w:hint="eastAsia" w:hAnsi="宋体"/>
          <w:sz w:val="24"/>
          <w:szCs w:val="24"/>
        </w:rPr>
        <w:t>界面管理；</w:t>
      </w:r>
    </w:p>
    <w:p>
      <w:pPr>
        <w:topLinePunct/>
        <w:adjustRightInd w:val="0"/>
        <w:snapToGrid w:val="0"/>
        <w:spacing w:line="360" w:lineRule="auto"/>
        <w:ind w:firstLine="480" w:firstLineChars="200"/>
        <w:rPr>
          <w:sz w:val="24"/>
          <w:szCs w:val="24"/>
        </w:rPr>
      </w:pPr>
      <w:r>
        <w:rPr>
          <w:sz w:val="24"/>
          <w:szCs w:val="24"/>
        </w:rPr>
        <w:t>3</w:t>
      </w:r>
      <w:r>
        <w:rPr>
          <w:rFonts w:hint="eastAsia" w:hAnsi="宋体"/>
          <w:sz w:val="24"/>
          <w:szCs w:val="24"/>
        </w:rPr>
        <w:t>）</w:t>
      </w:r>
      <w:r>
        <w:rPr>
          <w:sz w:val="24"/>
          <w:szCs w:val="24"/>
        </w:rPr>
        <w:tab/>
      </w:r>
      <w:r>
        <w:rPr>
          <w:rFonts w:hint="eastAsia" w:hAnsi="宋体"/>
          <w:sz w:val="24"/>
          <w:szCs w:val="24"/>
        </w:rPr>
        <w:t>提供密码管理。</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3.4.4</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网络风暴抑制。</w:t>
      </w:r>
    </w:p>
    <w:p>
      <w:pPr>
        <w:topLinePunct/>
        <w:adjustRightInd w:val="0"/>
        <w:snapToGrid w:val="0"/>
        <w:spacing w:line="360" w:lineRule="auto"/>
        <w:ind w:firstLine="480" w:firstLineChars="200"/>
        <w:rPr>
          <w:sz w:val="24"/>
          <w:szCs w:val="24"/>
        </w:rPr>
      </w:pPr>
      <w:r>
        <w:rPr>
          <w:sz w:val="24"/>
          <w:szCs w:val="24"/>
        </w:rPr>
        <w:t>1</w:t>
      </w:r>
      <w:r>
        <w:rPr>
          <w:rFonts w:hint="eastAsia" w:hAnsi="宋体"/>
          <w:sz w:val="24"/>
          <w:szCs w:val="24"/>
        </w:rPr>
        <w:t>）</w:t>
      </w:r>
      <w:r>
        <w:rPr>
          <w:sz w:val="24"/>
          <w:szCs w:val="24"/>
        </w:rPr>
        <w:tab/>
      </w:r>
      <w:r>
        <w:rPr>
          <w:rFonts w:hint="eastAsia" w:hAnsi="宋体"/>
          <w:sz w:val="24"/>
          <w:szCs w:val="24"/>
        </w:rPr>
        <w:t>支持广播风暴抑制；</w:t>
      </w:r>
    </w:p>
    <w:p>
      <w:pPr>
        <w:topLinePunct/>
        <w:adjustRightInd w:val="0"/>
        <w:snapToGrid w:val="0"/>
        <w:spacing w:line="360" w:lineRule="auto"/>
        <w:ind w:firstLine="480" w:firstLineChars="200"/>
        <w:rPr>
          <w:sz w:val="24"/>
          <w:szCs w:val="24"/>
        </w:rPr>
      </w:pPr>
      <w:r>
        <w:rPr>
          <w:sz w:val="24"/>
          <w:szCs w:val="24"/>
        </w:rPr>
        <w:t>2</w:t>
      </w:r>
      <w:r>
        <w:rPr>
          <w:rFonts w:hint="eastAsia" w:hAnsi="宋体"/>
          <w:sz w:val="24"/>
          <w:szCs w:val="24"/>
        </w:rPr>
        <w:t>）</w:t>
      </w:r>
      <w:r>
        <w:rPr>
          <w:sz w:val="24"/>
          <w:szCs w:val="24"/>
        </w:rPr>
        <w:tab/>
      </w:r>
      <w:r>
        <w:rPr>
          <w:rFonts w:hint="eastAsia" w:hAnsi="宋体"/>
          <w:sz w:val="24"/>
          <w:szCs w:val="24"/>
        </w:rPr>
        <w:t>支持组播风暴抑制；</w:t>
      </w:r>
    </w:p>
    <w:p>
      <w:pPr>
        <w:topLinePunct/>
        <w:adjustRightInd w:val="0"/>
        <w:snapToGrid w:val="0"/>
        <w:spacing w:line="360" w:lineRule="auto"/>
        <w:ind w:firstLine="480" w:firstLineChars="200"/>
        <w:rPr>
          <w:sz w:val="24"/>
          <w:szCs w:val="24"/>
        </w:rPr>
      </w:pPr>
      <w:r>
        <w:rPr>
          <w:sz w:val="24"/>
          <w:szCs w:val="24"/>
        </w:rPr>
        <w:t>3</w:t>
      </w:r>
      <w:r>
        <w:rPr>
          <w:rFonts w:hint="eastAsia" w:hAnsi="宋体"/>
          <w:sz w:val="24"/>
          <w:szCs w:val="24"/>
        </w:rPr>
        <w:t>）</w:t>
      </w:r>
      <w:r>
        <w:rPr>
          <w:sz w:val="24"/>
          <w:szCs w:val="24"/>
        </w:rPr>
        <w:tab/>
      </w:r>
      <w:r>
        <w:rPr>
          <w:rFonts w:hint="eastAsia" w:hAnsi="宋体"/>
          <w:sz w:val="24"/>
          <w:szCs w:val="24"/>
        </w:rPr>
        <w:t>支持单播风暴抑制。</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3.4.5</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组网功能。</w:t>
      </w:r>
    </w:p>
    <w:p>
      <w:pPr>
        <w:topLinePunct/>
        <w:adjustRightInd w:val="0"/>
        <w:snapToGrid w:val="0"/>
        <w:spacing w:line="360" w:lineRule="auto"/>
        <w:ind w:firstLine="480" w:firstLineChars="200"/>
        <w:rPr>
          <w:sz w:val="24"/>
          <w:szCs w:val="24"/>
        </w:rPr>
      </w:pPr>
      <w:r>
        <w:rPr>
          <w:rFonts w:hint="eastAsia" w:hAnsi="宋体"/>
          <w:sz w:val="24"/>
          <w:szCs w:val="24"/>
        </w:rPr>
        <w:t>可以按照电力系统的需求进行组网，组网方式至少包括：</w:t>
      </w:r>
    </w:p>
    <w:p>
      <w:pPr>
        <w:topLinePunct/>
        <w:adjustRightInd w:val="0"/>
        <w:snapToGrid w:val="0"/>
        <w:spacing w:line="360" w:lineRule="auto"/>
        <w:ind w:firstLine="480" w:firstLineChars="200"/>
        <w:rPr>
          <w:sz w:val="24"/>
          <w:szCs w:val="24"/>
        </w:rPr>
      </w:pPr>
      <w:r>
        <w:rPr>
          <w:sz w:val="24"/>
          <w:szCs w:val="24"/>
        </w:rPr>
        <w:t>1</w:t>
      </w:r>
      <w:r>
        <w:rPr>
          <w:rFonts w:hint="eastAsia" w:hAnsi="宋体"/>
          <w:sz w:val="24"/>
          <w:szCs w:val="24"/>
        </w:rPr>
        <w:t>）</w:t>
      </w:r>
      <w:r>
        <w:rPr>
          <w:sz w:val="24"/>
          <w:szCs w:val="24"/>
        </w:rPr>
        <w:tab/>
      </w:r>
      <w:r>
        <w:rPr>
          <w:rFonts w:hint="eastAsia" w:hAnsi="宋体"/>
          <w:sz w:val="24"/>
          <w:szCs w:val="24"/>
        </w:rPr>
        <w:t>星形；</w:t>
      </w:r>
    </w:p>
    <w:p>
      <w:pPr>
        <w:topLinePunct/>
        <w:adjustRightInd w:val="0"/>
        <w:snapToGrid w:val="0"/>
        <w:spacing w:line="360" w:lineRule="auto"/>
        <w:ind w:firstLine="480" w:firstLineChars="200"/>
        <w:rPr>
          <w:sz w:val="24"/>
          <w:szCs w:val="24"/>
        </w:rPr>
      </w:pPr>
      <w:r>
        <w:rPr>
          <w:sz w:val="24"/>
          <w:szCs w:val="24"/>
        </w:rPr>
        <w:t>2</w:t>
      </w:r>
      <w:r>
        <w:rPr>
          <w:rFonts w:hint="eastAsia" w:hAnsi="宋体"/>
          <w:sz w:val="24"/>
          <w:szCs w:val="24"/>
        </w:rPr>
        <w:t>）</w:t>
      </w:r>
      <w:r>
        <w:rPr>
          <w:sz w:val="24"/>
          <w:szCs w:val="24"/>
        </w:rPr>
        <w:tab/>
      </w:r>
      <w:r>
        <w:rPr>
          <w:rFonts w:hint="eastAsia" w:hAnsi="宋体"/>
          <w:sz w:val="24"/>
          <w:szCs w:val="24"/>
        </w:rPr>
        <w:t>环形；</w:t>
      </w:r>
    </w:p>
    <w:p>
      <w:pPr>
        <w:topLinePunct/>
        <w:adjustRightInd w:val="0"/>
        <w:snapToGrid w:val="0"/>
        <w:spacing w:line="360" w:lineRule="auto"/>
        <w:ind w:firstLine="480" w:firstLineChars="200"/>
        <w:rPr>
          <w:sz w:val="24"/>
          <w:szCs w:val="24"/>
        </w:rPr>
      </w:pPr>
      <w:r>
        <w:rPr>
          <w:sz w:val="24"/>
          <w:szCs w:val="24"/>
        </w:rPr>
        <w:t>3</w:t>
      </w:r>
      <w:r>
        <w:rPr>
          <w:rFonts w:hint="eastAsia" w:hAnsi="宋体"/>
          <w:sz w:val="24"/>
          <w:szCs w:val="24"/>
        </w:rPr>
        <w:t>）</w:t>
      </w:r>
      <w:r>
        <w:rPr>
          <w:sz w:val="24"/>
          <w:szCs w:val="24"/>
        </w:rPr>
        <w:tab/>
      </w:r>
      <w:r>
        <w:rPr>
          <w:rFonts w:hint="eastAsia" w:hAnsi="宋体"/>
          <w:sz w:val="24"/>
          <w:szCs w:val="24"/>
        </w:rPr>
        <w:t>双星形；</w:t>
      </w:r>
    </w:p>
    <w:p>
      <w:pPr>
        <w:topLinePunct/>
        <w:adjustRightInd w:val="0"/>
        <w:snapToGrid w:val="0"/>
        <w:spacing w:line="360" w:lineRule="auto"/>
        <w:ind w:firstLine="480" w:firstLineChars="200"/>
        <w:rPr>
          <w:sz w:val="24"/>
          <w:szCs w:val="24"/>
        </w:rPr>
      </w:pPr>
      <w:r>
        <w:rPr>
          <w:sz w:val="24"/>
          <w:szCs w:val="24"/>
        </w:rPr>
        <w:t>4</w:t>
      </w:r>
      <w:r>
        <w:rPr>
          <w:rFonts w:hint="eastAsia" w:hAnsi="宋体"/>
          <w:sz w:val="24"/>
          <w:szCs w:val="24"/>
        </w:rPr>
        <w:t>）</w:t>
      </w:r>
      <w:r>
        <w:rPr>
          <w:sz w:val="24"/>
          <w:szCs w:val="24"/>
        </w:rPr>
        <w:tab/>
      </w:r>
      <w:r>
        <w:rPr>
          <w:rFonts w:hint="eastAsia" w:hAnsi="宋体"/>
          <w:sz w:val="24"/>
          <w:szCs w:val="24"/>
        </w:rPr>
        <w:t>双环形。</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3.4.6</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互联网组管理协议。交换机应实现互联网组管理协议功能。</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3.4.7</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镜像。镜像包括单端口镜像和多端口镜像。</w:t>
      </w:r>
    </w:p>
    <w:p>
      <w:pPr>
        <w:topLinePunct/>
        <w:adjustRightInd w:val="0"/>
        <w:snapToGrid w:val="0"/>
        <w:spacing w:line="360" w:lineRule="auto"/>
        <w:ind w:firstLine="480" w:firstLineChars="200"/>
        <w:rPr>
          <w:sz w:val="24"/>
          <w:szCs w:val="24"/>
        </w:rPr>
      </w:pPr>
      <w:r>
        <w:rPr>
          <w:rFonts w:hint="eastAsia" w:hAnsi="宋体"/>
          <w:sz w:val="24"/>
          <w:szCs w:val="24"/>
        </w:rPr>
        <w:t>单端口镜像指镜像端口只复制（监视）一个端口数据，多端口镜像指镜像端口同时复制（监视）几个端口数据。</w:t>
      </w:r>
    </w:p>
    <w:p>
      <w:pPr>
        <w:topLinePunct/>
        <w:adjustRightInd w:val="0"/>
        <w:snapToGrid w:val="0"/>
        <w:spacing w:line="360" w:lineRule="auto"/>
        <w:ind w:firstLine="480" w:firstLineChars="200"/>
        <w:rPr>
          <w:sz w:val="24"/>
          <w:szCs w:val="24"/>
        </w:rPr>
      </w:pPr>
      <w:r>
        <w:rPr>
          <w:rFonts w:hint="eastAsia" w:hAnsi="宋体"/>
          <w:sz w:val="24"/>
          <w:szCs w:val="24"/>
        </w:rPr>
        <w:t>在保证镜像端口吞吐量的情况下，镜像端口不应当丢失数据。</w:t>
      </w:r>
    </w:p>
    <w:p>
      <w:pPr>
        <w:topLinePunct/>
        <w:adjustRightInd w:val="0"/>
        <w:snapToGrid w:val="0"/>
        <w:spacing w:line="360" w:lineRule="auto"/>
        <w:ind w:firstLine="480" w:firstLineChars="200"/>
        <w:rPr>
          <w:sz w:val="24"/>
          <w:szCs w:val="24"/>
        </w:rPr>
      </w:pPr>
      <w:r>
        <w:rPr>
          <w:rFonts w:hint="eastAsia" w:hAnsi="宋体"/>
          <w:sz w:val="24"/>
          <w:szCs w:val="24"/>
        </w:rPr>
        <w:t>注：数字化变电站用交换机应满足此项要求。</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3.4.8</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多链路聚合。逻辑上多条单独的链路作为一条独立链路使用，以获得更高带宽，链路聚合功能开启过程中不应数据丢失。</w:t>
      </w:r>
    </w:p>
    <w:p>
      <w:pPr>
        <w:pStyle w:val="16"/>
        <w:adjustRightInd w:val="0"/>
        <w:snapToGrid w:val="0"/>
        <w:spacing w:line="360" w:lineRule="auto"/>
        <w:rPr>
          <w:rFonts w:ascii="Times New Roman" w:eastAsia="宋体"/>
          <w:color w:val="auto"/>
          <w:kern w:val="0"/>
          <w:sz w:val="24"/>
          <w:szCs w:val="24"/>
        </w:rPr>
      </w:pPr>
      <w:bookmarkStart w:id="76" w:name="_Toc191444070"/>
      <w:bookmarkEnd w:id="76"/>
      <w:bookmarkStart w:id="77" w:name="_Toc191443759"/>
      <w:bookmarkEnd w:id="77"/>
      <w:bookmarkStart w:id="78" w:name="_Toc191443762"/>
      <w:bookmarkEnd w:id="78"/>
      <w:bookmarkStart w:id="79" w:name="_Toc191444067"/>
      <w:bookmarkEnd w:id="79"/>
      <w:r>
        <w:rPr>
          <w:rFonts w:ascii="Times New Roman" w:eastAsia="宋体"/>
          <w:color w:val="auto"/>
          <w:sz w:val="24"/>
          <w:szCs w:val="24"/>
        </w:rPr>
        <w:t>3.4.9</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其他功能参见</w:t>
      </w:r>
      <w:r>
        <w:rPr>
          <w:rFonts w:ascii="Times New Roman" w:eastAsia="宋体"/>
          <w:color w:val="auto"/>
          <w:kern w:val="0"/>
          <w:sz w:val="24"/>
          <w:szCs w:val="24"/>
        </w:rPr>
        <w:t>YD/T 1099</w:t>
      </w:r>
      <w:r>
        <w:rPr>
          <w:rFonts w:hint="eastAsia" w:ascii="Times New Roman" w:hAnsi="宋体" w:eastAsia="宋体"/>
          <w:color w:val="auto"/>
          <w:kern w:val="0"/>
          <w:sz w:val="24"/>
          <w:szCs w:val="24"/>
        </w:rPr>
        <w:t>。</w:t>
      </w:r>
    </w:p>
    <w:bookmarkEnd w:id="70"/>
    <w:bookmarkEnd w:id="71"/>
    <w:p>
      <w:pPr>
        <w:pStyle w:val="13"/>
        <w:adjustRightInd w:val="0"/>
        <w:snapToGrid w:val="0"/>
        <w:spacing w:line="360" w:lineRule="auto"/>
        <w:jc w:val="both"/>
        <w:outlineLvl w:val="0"/>
        <w:rPr>
          <w:rFonts w:ascii="Times New Roman" w:eastAsia="宋体"/>
          <w:b/>
          <w:color w:val="auto"/>
          <w:sz w:val="24"/>
          <w:szCs w:val="24"/>
        </w:rPr>
      </w:pPr>
      <w:bookmarkStart w:id="80" w:name="_Toc244155677"/>
      <w:bookmarkStart w:id="81" w:name="_Toc244075272"/>
      <w:bookmarkStart w:id="82" w:name="_Toc244155640"/>
      <w:bookmarkStart w:id="83" w:name="_Toc247777303"/>
      <w:bookmarkStart w:id="84" w:name="_Toc244156675"/>
      <w:bookmarkStart w:id="85" w:name="_Toc103766756"/>
      <w:bookmarkStart w:id="86" w:name="_Toc244399771"/>
      <w:bookmarkStart w:id="87" w:name="_Toc244156622"/>
      <w:r>
        <w:rPr>
          <w:rFonts w:ascii="Times New Roman" w:eastAsia="宋体"/>
          <w:b/>
          <w:color w:val="auto"/>
          <w:sz w:val="24"/>
          <w:szCs w:val="24"/>
        </w:rPr>
        <w:t>4</w:t>
      </w:r>
      <w:r>
        <w:rPr>
          <w:rFonts w:hint="eastAsia" w:ascii="Times New Roman" w:hAnsi="宋体" w:eastAsia="宋体"/>
          <w:b/>
          <w:color w:val="auto"/>
          <w:sz w:val="24"/>
          <w:szCs w:val="24"/>
        </w:rPr>
        <w:t>　验收试验</w:t>
      </w:r>
      <w:bookmarkEnd w:id="80"/>
      <w:bookmarkEnd w:id="81"/>
      <w:bookmarkEnd w:id="82"/>
      <w:bookmarkEnd w:id="83"/>
      <w:bookmarkEnd w:id="84"/>
      <w:bookmarkEnd w:id="85"/>
      <w:bookmarkEnd w:id="86"/>
      <w:bookmarkEnd w:id="87"/>
    </w:p>
    <w:p>
      <w:pPr>
        <w:pStyle w:val="16"/>
        <w:adjustRightInd w:val="0"/>
        <w:snapToGrid w:val="0"/>
        <w:spacing w:line="360" w:lineRule="auto"/>
        <w:rPr>
          <w:rFonts w:ascii="Times New Roman" w:eastAsia="宋体"/>
          <w:color w:val="auto"/>
          <w:sz w:val="24"/>
          <w:szCs w:val="24"/>
        </w:rPr>
      </w:pPr>
      <w:bookmarkStart w:id="88" w:name="_Toc97018132"/>
      <w:bookmarkStart w:id="89" w:name="_Toc244155641"/>
      <w:bookmarkStart w:id="90" w:name="_Toc244155678"/>
      <w:bookmarkStart w:id="91" w:name="_Toc244156676"/>
      <w:bookmarkStart w:id="92" w:name="_Toc244156623"/>
      <w:bookmarkStart w:id="93" w:name="_Toc247777304"/>
      <w:bookmarkStart w:id="94" w:name="_Toc97018539"/>
      <w:bookmarkStart w:id="95" w:name="_Toc244075273"/>
      <w:r>
        <w:rPr>
          <w:rFonts w:ascii="Times New Roman" w:eastAsia="宋体"/>
          <w:color w:val="auto"/>
          <w:sz w:val="24"/>
          <w:szCs w:val="24"/>
        </w:rPr>
        <w:t>4.1</w:t>
      </w:r>
      <w:r>
        <w:rPr>
          <w:rFonts w:hint="eastAsia" w:ascii="Times New Roman" w:hAnsi="宋体" w:eastAsia="宋体"/>
          <w:color w:val="auto"/>
          <w:sz w:val="24"/>
          <w:szCs w:val="24"/>
        </w:rPr>
        <w:t>　概述</w:t>
      </w:r>
      <w:bookmarkEnd w:id="88"/>
      <w:bookmarkEnd w:id="89"/>
      <w:bookmarkEnd w:id="90"/>
      <w:bookmarkEnd w:id="91"/>
      <w:bookmarkEnd w:id="92"/>
      <w:bookmarkEnd w:id="93"/>
      <w:bookmarkEnd w:id="94"/>
      <w:bookmarkEnd w:id="95"/>
    </w:p>
    <w:p>
      <w:pPr>
        <w:topLinePunct/>
        <w:adjustRightInd w:val="0"/>
        <w:snapToGrid w:val="0"/>
        <w:spacing w:line="360" w:lineRule="auto"/>
        <w:rPr>
          <w:sz w:val="24"/>
          <w:szCs w:val="24"/>
        </w:rPr>
      </w:pPr>
      <w:r>
        <w:rPr>
          <w:sz w:val="24"/>
          <w:szCs w:val="24"/>
        </w:rPr>
        <w:t>4.1.1</w:t>
      </w:r>
      <w:r>
        <w:rPr>
          <w:rFonts w:hint="eastAsia" w:hAnsi="宋体"/>
          <w:sz w:val="24"/>
          <w:szCs w:val="24"/>
        </w:rPr>
        <w:t>　卖方所提供设备的质量、功能、性能等均应经过试验，并经买方认可才能交货。试验内容由卖方制订，并经买方确认，买方有权根据实际需要增加或减少实验内容、更改实验方法、调整实验条件。</w:t>
      </w:r>
    </w:p>
    <w:p>
      <w:pPr>
        <w:topLinePunct/>
        <w:adjustRightInd w:val="0"/>
        <w:snapToGrid w:val="0"/>
        <w:spacing w:line="360" w:lineRule="auto"/>
        <w:rPr>
          <w:sz w:val="24"/>
          <w:szCs w:val="24"/>
        </w:rPr>
      </w:pPr>
      <w:r>
        <w:rPr>
          <w:sz w:val="24"/>
          <w:szCs w:val="24"/>
        </w:rPr>
        <w:t>4.1.2</w:t>
      </w:r>
      <w:r>
        <w:rPr>
          <w:rFonts w:hint="eastAsia" w:hAnsi="宋体"/>
          <w:sz w:val="24"/>
          <w:szCs w:val="24"/>
        </w:rPr>
        <w:t>　卖方应提供所有工厂试验及现场验收的细则，细则中应明确规定试验项目以及所达到的性能要求。</w:t>
      </w:r>
    </w:p>
    <w:p>
      <w:pPr>
        <w:topLinePunct/>
        <w:adjustRightInd w:val="0"/>
        <w:snapToGrid w:val="0"/>
        <w:spacing w:line="360" w:lineRule="auto"/>
        <w:rPr>
          <w:sz w:val="24"/>
          <w:szCs w:val="24"/>
        </w:rPr>
      </w:pPr>
      <w:r>
        <w:rPr>
          <w:sz w:val="24"/>
          <w:szCs w:val="24"/>
        </w:rPr>
        <w:t>4.1.3</w:t>
      </w:r>
      <w:r>
        <w:rPr>
          <w:rFonts w:hint="eastAsia" w:hAnsi="宋体"/>
          <w:sz w:val="24"/>
          <w:szCs w:val="24"/>
        </w:rPr>
        <w:t>　买方人员对试验的认可签字并不解除卖方对合同规定的保证责任。</w:t>
      </w:r>
    </w:p>
    <w:p>
      <w:pPr>
        <w:topLinePunct/>
        <w:adjustRightInd w:val="0"/>
        <w:snapToGrid w:val="0"/>
        <w:spacing w:line="360" w:lineRule="auto"/>
        <w:rPr>
          <w:sz w:val="24"/>
          <w:szCs w:val="24"/>
        </w:rPr>
      </w:pPr>
      <w:r>
        <w:rPr>
          <w:sz w:val="24"/>
          <w:szCs w:val="24"/>
        </w:rPr>
        <w:t>4.1.4</w:t>
      </w:r>
      <w:r>
        <w:rPr>
          <w:rFonts w:hint="eastAsia" w:hAnsi="宋体"/>
          <w:sz w:val="24"/>
          <w:szCs w:val="24"/>
        </w:rPr>
        <w:t>　卖方应提供一份详细的工厂试验和现场验收的计划（包括系统性能、功能及系统稳定运行的测试方法），买方对卖方提供的试验和验收计划具有修改的权力，并在设计联络会上经买方确认后生效。</w:t>
      </w:r>
    </w:p>
    <w:p>
      <w:pPr>
        <w:topLinePunct/>
        <w:adjustRightInd w:val="0"/>
        <w:snapToGrid w:val="0"/>
        <w:spacing w:line="360" w:lineRule="auto"/>
        <w:rPr>
          <w:sz w:val="24"/>
          <w:szCs w:val="24"/>
        </w:rPr>
      </w:pPr>
      <w:r>
        <w:rPr>
          <w:sz w:val="24"/>
          <w:szCs w:val="24"/>
        </w:rPr>
        <w:t>4.1.5</w:t>
      </w:r>
      <w:r>
        <w:rPr>
          <w:rFonts w:hint="eastAsia" w:hAnsi="宋体"/>
          <w:sz w:val="24"/>
          <w:szCs w:val="24"/>
        </w:rPr>
        <w:t>　卖方应提供四份试验报告的拷贝，每份报告均应有编号、日期。试验报告至少要包括如下内容：</w:t>
      </w:r>
    </w:p>
    <w:p>
      <w:pPr>
        <w:topLinePunct/>
        <w:adjustRightInd w:val="0"/>
        <w:snapToGrid w:val="0"/>
        <w:spacing w:line="360" w:lineRule="auto"/>
        <w:ind w:firstLine="480" w:firstLineChars="200"/>
        <w:rPr>
          <w:sz w:val="24"/>
          <w:szCs w:val="24"/>
        </w:rPr>
      </w:pPr>
      <w:bookmarkStart w:id="96" w:name="_Toc97018133"/>
      <w:r>
        <w:rPr>
          <w:sz w:val="24"/>
          <w:szCs w:val="24"/>
        </w:rPr>
        <w:t>1</w:t>
      </w:r>
      <w:r>
        <w:rPr>
          <w:rFonts w:hint="eastAsia" w:hAnsi="宋体"/>
          <w:sz w:val="24"/>
          <w:szCs w:val="24"/>
        </w:rPr>
        <w:t>）</w:t>
      </w:r>
      <w:r>
        <w:rPr>
          <w:sz w:val="24"/>
          <w:szCs w:val="24"/>
        </w:rPr>
        <w:tab/>
      </w:r>
      <w:r>
        <w:rPr>
          <w:rFonts w:hint="eastAsia" w:hAnsi="宋体"/>
          <w:sz w:val="24"/>
          <w:szCs w:val="24"/>
        </w:rPr>
        <w:t>设备的说明</w:t>
      </w:r>
      <w:bookmarkEnd w:id="96"/>
      <w:r>
        <w:rPr>
          <w:rFonts w:hint="eastAsia" w:hAnsi="宋体"/>
          <w:sz w:val="24"/>
          <w:szCs w:val="24"/>
        </w:rPr>
        <w:t>；</w:t>
      </w:r>
    </w:p>
    <w:p>
      <w:pPr>
        <w:topLinePunct/>
        <w:adjustRightInd w:val="0"/>
        <w:snapToGrid w:val="0"/>
        <w:spacing w:line="360" w:lineRule="auto"/>
        <w:ind w:firstLine="480" w:firstLineChars="200"/>
        <w:rPr>
          <w:sz w:val="24"/>
          <w:szCs w:val="24"/>
        </w:rPr>
      </w:pPr>
      <w:bookmarkStart w:id="97" w:name="_Toc97018134"/>
      <w:r>
        <w:rPr>
          <w:sz w:val="24"/>
          <w:szCs w:val="24"/>
        </w:rPr>
        <w:t>2</w:t>
      </w:r>
      <w:r>
        <w:rPr>
          <w:rFonts w:hint="eastAsia" w:hAnsi="宋体"/>
          <w:sz w:val="24"/>
          <w:szCs w:val="24"/>
        </w:rPr>
        <w:t>）</w:t>
      </w:r>
      <w:r>
        <w:rPr>
          <w:sz w:val="24"/>
          <w:szCs w:val="24"/>
        </w:rPr>
        <w:tab/>
      </w:r>
      <w:r>
        <w:rPr>
          <w:rFonts w:hint="eastAsia" w:hAnsi="宋体"/>
          <w:sz w:val="24"/>
          <w:szCs w:val="24"/>
        </w:rPr>
        <w:t>设备的项目编号，数量以及顺序号</w:t>
      </w:r>
      <w:bookmarkEnd w:id="97"/>
      <w:r>
        <w:rPr>
          <w:rFonts w:hint="eastAsia" w:hAnsi="宋体"/>
          <w:sz w:val="24"/>
          <w:szCs w:val="24"/>
        </w:rPr>
        <w:t>；</w:t>
      </w:r>
    </w:p>
    <w:p>
      <w:pPr>
        <w:topLinePunct/>
        <w:adjustRightInd w:val="0"/>
        <w:snapToGrid w:val="0"/>
        <w:spacing w:line="360" w:lineRule="auto"/>
        <w:ind w:firstLine="480" w:firstLineChars="200"/>
        <w:rPr>
          <w:sz w:val="24"/>
          <w:szCs w:val="24"/>
        </w:rPr>
      </w:pPr>
      <w:bookmarkStart w:id="98" w:name="_Toc97018135"/>
      <w:r>
        <w:rPr>
          <w:sz w:val="24"/>
          <w:szCs w:val="24"/>
        </w:rPr>
        <w:t>3</w:t>
      </w:r>
      <w:r>
        <w:rPr>
          <w:rFonts w:hint="eastAsia" w:hAnsi="宋体"/>
          <w:sz w:val="24"/>
          <w:szCs w:val="24"/>
        </w:rPr>
        <w:t>）</w:t>
      </w:r>
      <w:r>
        <w:rPr>
          <w:sz w:val="24"/>
          <w:szCs w:val="24"/>
        </w:rPr>
        <w:tab/>
      </w:r>
      <w:r>
        <w:rPr>
          <w:rFonts w:hint="eastAsia" w:hAnsi="宋体"/>
          <w:sz w:val="24"/>
          <w:szCs w:val="24"/>
        </w:rPr>
        <w:t>完成试验的时间、地点及方法</w:t>
      </w:r>
      <w:bookmarkEnd w:id="98"/>
      <w:r>
        <w:rPr>
          <w:rFonts w:hint="eastAsia" w:hAnsi="宋体"/>
          <w:sz w:val="24"/>
          <w:szCs w:val="24"/>
        </w:rPr>
        <w:t>；</w:t>
      </w:r>
    </w:p>
    <w:p>
      <w:pPr>
        <w:topLinePunct/>
        <w:adjustRightInd w:val="0"/>
        <w:snapToGrid w:val="0"/>
        <w:spacing w:line="360" w:lineRule="auto"/>
        <w:ind w:firstLine="480" w:firstLineChars="200"/>
        <w:rPr>
          <w:sz w:val="24"/>
          <w:szCs w:val="24"/>
        </w:rPr>
      </w:pPr>
      <w:bookmarkStart w:id="99" w:name="_Toc97018136"/>
      <w:r>
        <w:rPr>
          <w:sz w:val="24"/>
          <w:szCs w:val="24"/>
        </w:rPr>
        <w:t>4</w:t>
      </w:r>
      <w:r>
        <w:rPr>
          <w:rFonts w:hint="eastAsia" w:hAnsi="宋体"/>
          <w:sz w:val="24"/>
          <w:szCs w:val="24"/>
        </w:rPr>
        <w:t>）</w:t>
      </w:r>
      <w:r>
        <w:rPr>
          <w:sz w:val="24"/>
          <w:szCs w:val="24"/>
        </w:rPr>
        <w:tab/>
      </w:r>
      <w:r>
        <w:rPr>
          <w:rFonts w:hint="eastAsia" w:hAnsi="宋体"/>
          <w:sz w:val="24"/>
          <w:szCs w:val="24"/>
        </w:rPr>
        <w:t>试验环境（包括温度、湿度、电源、电压）和条件</w:t>
      </w:r>
      <w:bookmarkEnd w:id="99"/>
      <w:r>
        <w:rPr>
          <w:rFonts w:hint="eastAsia" w:hAnsi="宋体"/>
          <w:sz w:val="24"/>
          <w:szCs w:val="24"/>
        </w:rPr>
        <w:t>；</w:t>
      </w:r>
    </w:p>
    <w:p>
      <w:pPr>
        <w:topLinePunct/>
        <w:adjustRightInd w:val="0"/>
        <w:snapToGrid w:val="0"/>
        <w:spacing w:line="360" w:lineRule="auto"/>
        <w:ind w:firstLine="480" w:firstLineChars="200"/>
        <w:rPr>
          <w:sz w:val="24"/>
          <w:szCs w:val="24"/>
        </w:rPr>
      </w:pPr>
      <w:bookmarkStart w:id="100" w:name="_Toc97018137"/>
      <w:r>
        <w:rPr>
          <w:sz w:val="24"/>
          <w:szCs w:val="24"/>
        </w:rPr>
        <w:t>5</w:t>
      </w:r>
      <w:r>
        <w:rPr>
          <w:rFonts w:hint="eastAsia" w:hAnsi="宋体"/>
          <w:sz w:val="24"/>
          <w:szCs w:val="24"/>
        </w:rPr>
        <w:t>）</w:t>
      </w:r>
      <w:r>
        <w:rPr>
          <w:sz w:val="24"/>
          <w:szCs w:val="24"/>
        </w:rPr>
        <w:tab/>
      </w:r>
      <w:r>
        <w:rPr>
          <w:rFonts w:hint="eastAsia" w:hAnsi="宋体"/>
          <w:sz w:val="24"/>
          <w:szCs w:val="24"/>
        </w:rPr>
        <w:t>试验合格的标准</w:t>
      </w:r>
      <w:bookmarkEnd w:id="100"/>
      <w:r>
        <w:rPr>
          <w:rFonts w:hint="eastAsia" w:hAnsi="宋体"/>
          <w:sz w:val="24"/>
          <w:szCs w:val="24"/>
        </w:rPr>
        <w:t>；</w:t>
      </w:r>
    </w:p>
    <w:p>
      <w:pPr>
        <w:topLinePunct/>
        <w:adjustRightInd w:val="0"/>
        <w:snapToGrid w:val="0"/>
        <w:spacing w:line="360" w:lineRule="auto"/>
        <w:ind w:firstLine="480" w:firstLineChars="200"/>
        <w:rPr>
          <w:sz w:val="24"/>
          <w:szCs w:val="24"/>
        </w:rPr>
      </w:pPr>
      <w:bookmarkStart w:id="101" w:name="_Toc97018138"/>
      <w:r>
        <w:rPr>
          <w:sz w:val="24"/>
          <w:szCs w:val="24"/>
        </w:rPr>
        <w:t>6</w:t>
      </w:r>
      <w:r>
        <w:rPr>
          <w:rFonts w:hint="eastAsia" w:hAnsi="宋体"/>
          <w:sz w:val="24"/>
          <w:szCs w:val="24"/>
        </w:rPr>
        <w:t>）</w:t>
      </w:r>
      <w:r>
        <w:rPr>
          <w:sz w:val="24"/>
          <w:szCs w:val="24"/>
        </w:rPr>
        <w:tab/>
      </w:r>
      <w:r>
        <w:rPr>
          <w:rFonts w:hint="eastAsia" w:hAnsi="宋体"/>
          <w:sz w:val="24"/>
          <w:szCs w:val="24"/>
        </w:rPr>
        <w:t>试验数据</w:t>
      </w:r>
      <w:bookmarkEnd w:id="101"/>
      <w:r>
        <w:rPr>
          <w:rFonts w:hint="eastAsia" w:hAnsi="宋体"/>
          <w:sz w:val="24"/>
          <w:szCs w:val="24"/>
        </w:rPr>
        <w:t>；</w:t>
      </w:r>
    </w:p>
    <w:p>
      <w:pPr>
        <w:topLinePunct/>
        <w:adjustRightInd w:val="0"/>
        <w:snapToGrid w:val="0"/>
        <w:spacing w:line="360" w:lineRule="auto"/>
        <w:ind w:firstLine="480" w:firstLineChars="200"/>
        <w:rPr>
          <w:sz w:val="24"/>
          <w:szCs w:val="24"/>
        </w:rPr>
      </w:pPr>
      <w:bookmarkStart w:id="102" w:name="_Toc97018139"/>
      <w:r>
        <w:rPr>
          <w:sz w:val="24"/>
          <w:szCs w:val="24"/>
        </w:rPr>
        <w:t>7</w:t>
      </w:r>
      <w:r>
        <w:rPr>
          <w:rFonts w:hint="eastAsia" w:hAnsi="宋体"/>
          <w:sz w:val="24"/>
          <w:szCs w:val="24"/>
        </w:rPr>
        <w:t>）</w:t>
      </w:r>
      <w:r>
        <w:rPr>
          <w:sz w:val="24"/>
          <w:szCs w:val="24"/>
        </w:rPr>
        <w:tab/>
      </w:r>
      <w:r>
        <w:rPr>
          <w:rFonts w:hint="eastAsia" w:hAnsi="宋体"/>
          <w:sz w:val="24"/>
          <w:szCs w:val="24"/>
        </w:rPr>
        <w:t>试验人员名单</w:t>
      </w:r>
      <w:bookmarkEnd w:id="102"/>
      <w:r>
        <w:rPr>
          <w:rFonts w:hint="eastAsia" w:hAnsi="宋体"/>
          <w:sz w:val="24"/>
          <w:szCs w:val="24"/>
        </w:rPr>
        <w:t>；</w:t>
      </w:r>
    </w:p>
    <w:p>
      <w:pPr>
        <w:topLinePunct/>
        <w:adjustRightInd w:val="0"/>
        <w:snapToGrid w:val="0"/>
        <w:spacing w:line="360" w:lineRule="auto"/>
        <w:ind w:firstLine="480" w:firstLineChars="200"/>
        <w:rPr>
          <w:sz w:val="24"/>
          <w:szCs w:val="24"/>
        </w:rPr>
      </w:pPr>
      <w:bookmarkStart w:id="103" w:name="_Toc97018140"/>
      <w:r>
        <w:rPr>
          <w:sz w:val="24"/>
          <w:szCs w:val="24"/>
        </w:rPr>
        <w:t>8</w:t>
      </w:r>
      <w:r>
        <w:rPr>
          <w:rFonts w:hint="eastAsia" w:hAnsi="宋体"/>
          <w:sz w:val="24"/>
          <w:szCs w:val="24"/>
        </w:rPr>
        <w:t>）</w:t>
      </w:r>
      <w:r>
        <w:rPr>
          <w:sz w:val="24"/>
          <w:szCs w:val="24"/>
        </w:rPr>
        <w:tab/>
      </w:r>
      <w:r>
        <w:rPr>
          <w:rFonts w:hint="eastAsia" w:hAnsi="宋体"/>
          <w:sz w:val="24"/>
          <w:szCs w:val="24"/>
        </w:rPr>
        <w:t>负责人签字</w:t>
      </w:r>
      <w:bookmarkEnd w:id="103"/>
      <w:r>
        <w:rPr>
          <w:rFonts w:hint="eastAsia" w:hAnsi="宋体"/>
          <w:sz w:val="24"/>
          <w:szCs w:val="24"/>
        </w:rPr>
        <w:t>。</w:t>
      </w:r>
    </w:p>
    <w:p>
      <w:pPr>
        <w:topLinePunct/>
        <w:adjustRightInd w:val="0"/>
        <w:snapToGrid w:val="0"/>
        <w:spacing w:line="360" w:lineRule="auto"/>
        <w:rPr>
          <w:sz w:val="24"/>
          <w:szCs w:val="24"/>
        </w:rPr>
      </w:pPr>
      <w:r>
        <w:rPr>
          <w:sz w:val="24"/>
          <w:szCs w:val="24"/>
        </w:rPr>
        <w:t>4.1.6</w:t>
      </w:r>
      <w:r>
        <w:rPr>
          <w:rFonts w:hint="eastAsia" w:hAnsi="宋体"/>
          <w:sz w:val="24"/>
          <w:szCs w:val="24"/>
        </w:rPr>
        <w:t>　工厂试验期间，卖方应根据技术规范书的要求，提供检验、维护、测量、试验和记录的设备。现场验收的专用仪器仪表由卖方提供，通用仪器仪表由买方提供。</w:t>
      </w:r>
    </w:p>
    <w:p>
      <w:pPr>
        <w:pStyle w:val="16"/>
        <w:adjustRightInd w:val="0"/>
        <w:snapToGrid w:val="0"/>
        <w:spacing w:line="360" w:lineRule="auto"/>
        <w:rPr>
          <w:rFonts w:ascii="Times New Roman" w:eastAsia="宋体"/>
          <w:b/>
          <w:color w:val="auto"/>
          <w:sz w:val="24"/>
          <w:szCs w:val="24"/>
        </w:rPr>
      </w:pPr>
      <w:bookmarkStart w:id="104" w:name="_Toc97018541"/>
      <w:bookmarkStart w:id="105" w:name="_Toc97018143"/>
      <w:bookmarkStart w:id="106" w:name="_Toc247777305"/>
      <w:bookmarkStart w:id="107" w:name="_Toc244155643"/>
      <w:bookmarkStart w:id="108" w:name="_Toc244156678"/>
      <w:bookmarkStart w:id="109" w:name="_Toc244155680"/>
      <w:bookmarkStart w:id="110" w:name="_Toc244075275"/>
      <w:bookmarkStart w:id="111" w:name="_Toc244156625"/>
      <w:r>
        <w:rPr>
          <w:rFonts w:ascii="Times New Roman" w:eastAsia="宋体"/>
          <w:color w:val="auto"/>
          <w:sz w:val="24"/>
          <w:szCs w:val="24"/>
        </w:rPr>
        <w:t>4.2</w:t>
      </w:r>
      <w:r>
        <w:rPr>
          <w:rFonts w:hint="eastAsia" w:ascii="Times New Roman" w:hAnsi="宋体" w:eastAsia="宋体"/>
          <w:color w:val="auto"/>
          <w:sz w:val="24"/>
          <w:szCs w:val="24"/>
        </w:rPr>
        <w:t>　现场验收试验</w:t>
      </w:r>
      <w:r>
        <w:rPr>
          <w:rFonts w:hint="eastAsia" w:ascii="Times New Roman" w:hAnsi="宋体" w:eastAsia="宋体"/>
          <w:b/>
          <w:color w:val="auto"/>
          <w:sz w:val="24"/>
          <w:szCs w:val="24"/>
        </w:rPr>
        <w:t>（</w:t>
      </w:r>
      <w:r>
        <w:rPr>
          <w:rFonts w:ascii="Times New Roman" w:eastAsia="宋体"/>
          <w:b/>
          <w:color w:val="auto"/>
          <w:sz w:val="24"/>
          <w:szCs w:val="24"/>
        </w:rPr>
        <w:t>SAT</w:t>
      </w:r>
      <w:bookmarkEnd w:id="104"/>
      <w:bookmarkEnd w:id="105"/>
      <w:r>
        <w:rPr>
          <w:rFonts w:hint="eastAsia" w:ascii="Times New Roman" w:hAnsi="宋体" w:eastAsia="宋体"/>
          <w:b/>
          <w:color w:val="auto"/>
          <w:sz w:val="24"/>
          <w:szCs w:val="24"/>
        </w:rPr>
        <w:t>）</w:t>
      </w:r>
      <w:bookmarkEnd w:id="106"/>
      <w:bookmarkEnd w:id="107"/>
      <w:bookmarkEnd w:id="108"/>
      <w:bookmarkEnd w:id="109"/>
      <w:bookmarkEnd w:id="110"/>
      <w:bookmarkEnd w:id="111"/>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由买方人员在卖方工程师的现场指导下进行。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应在完成</w:t>
      </w:r>
      <w:r>
        <w:rPr>
          <w:sz w:val="24"/>
          <w:szCs w:val="24"/>
        </w:rPr>
        <w:t>FAT</w:t>
      </w:r>
      <w:r>
        <w:rPr>
          <w:rFonts w:hint="eastAsia" w:hAnsi="宋体"/>
          <w:sz w:val="24"/>
          <w:szCs w:val="24"/>
        </w:rPr>
        <w:t>所进行的全部系统功能试验和稳定性试验后，现场设备安装、调试完毕，并已具备条件时进行。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应包括设备与买方其他系统、设备互连的试验，还应测试与网管中心或者终端的通信试验。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稳定性试验的时间为连续进行的</w:t>
      </w:r>
      <w:r>
        <w:rPr>
          <w:sz w:val="24"/>
          <w:szCs w:val="24"/>
        </w:rPr>
        <w:t>168h</w:t>
      </w:r>
      <w:r>
        <w:rPr>
          <w:rFonts w:hint="eastAsia" w:hAnsi="宋体"/>
          <w:sz w:val="24"/>
          <w:szCs w:val="24"/>
        </w:rPr>
        <w:t>。在稳定性试验的</w:t>
      </w:r>
      <w:r>
        <w:rPr>
          <w:sz w:val="24"/>
          <w:szCs w:val="24"/>
        </w:rPr>
        <w:t>168h</w:t>
      </w:r>
      <w:r>
        <w:rPr>
          <w:rFonts w:hint="eastAsia" w:hAnsi="宋体"/>
          <w:sz w:val="24"/>
          <w:szCs w:val="24"/>
        </w:rPr>
        <w:t>期间，不得对硬件设备和软件程序进行调整，除非经过买方许可。</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开始</w:t>
      </w:r>
      <w:r>
        <w:rPr>
          <w:sz w:val="24"/>
          <w:szCs w:val="24"/>
        </w:rPr>
        <w:t>3</w:t>
      </w:r>
      <w:r>
        <w:rPr>
          <w:rFonts w:hint="eastAsia" w:hAnsi="宋体"/>
          <w:sz w:val="24"/>
          <w:szCs w:val="24"/>
        </w:rPr>
        <w:t>周内，如果系统不能正常运行，则</w:t>
      </w:r>
      <w:r>
        <w:rPr>
          <w:sz w:val="24"/>
          <w:szCs w:val="24"/>
        </w:rPr>
        <w:t>SAT</w:t>
      </w:r>
      <w:r>
        <w:rPr>
          <w:rFonts w:hint="eastAsia" w:hAnsi="宋体"/>
          <w:sz w:val="24"/>
          <w:szCs w:val="24"/>
        </w:rPr>
        <w:t>不能通过。卖方应采取必要的措施予以纠正，费用由卖方负责。</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的一般仪表由买方准备，专用工具和仪器由卖方提供。</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合格完成后</w:t>
      </w:r>
      <w:r>
        <w:rPr>
          <w:sz w:val="24"/>
          <w:szCs w:val="24"/>
        </w:rPr>
        <w:t>30</w:t>
      </w:r>
      <w:r>
        <w:rPr>
          <w:rFonts w:hint="eastAsia" w:hAnsi="宋体"/>
          <w:sz w:val="24"/>
          <w:szCs w:val="24"/>
        </w:rPr>
        <w:t>天，双方代表应在</w:t>
      </w:r>
      <w:r>
        <w:rPr>
          <w:sz w:val="24"/>
          <w:szCs w:val="24"/>
        </w:rPr>
        <w:t>SAT</w:t>
      </w:r>
      <w:r>
        <w:rPr>
          <w:rFonts w:hint="eastAsia" w:hAnsi="宋体"/>
          <w:sz w:val="24"/>
          <w:szCs w:val="24"/>
        </w:rPr>
        <w:t>验收报告上签字。</w:t>
      </w:r>
    </w:p>
    <w:p>
      <w:pPr>
        <w:topLinePunct/>
        <w:adjustRightInd w:val="0"/>
        <w:snapToGrid w:val="0"/>
        <w:spacing w:line="360" w:lineRule="auto"/>
        <w:ind w:firstLine="480" w:firstLineChars="200"/>
        <w:rPr>
          <w:sz w:val="24"/>
          <w:szCs w:val="24"/>
        </w:rPr>
      </w:pPr>
      <w:r>
        <w:rPr>
          <w:rFonts w:hint="eastAsia" w:hAnsi="宋体"/>
          <w:sz w:val="24"/>
          <w:szCs w:val="24"/>
        </w:rPr>
        <w:t>作为证明系统符合规范书的依据，</w:t>
      </w:r>
      <w:r>
        <w:rPr>
          <w:sz w:val="24"/>
          <w:szCs w:val="24"/>
        </w:rPr>
        <w:t>SAT</w:t>
      </w:r>
      <w:r>
        <w:rPr>
          <w:rFonts w:hint="eastAsia" w:hAnsi="宋体"/>
          <w:sz w:val="24"/>
          <w:szCs w:val="24"/>
        </w:rPr>
        <w:t>完成后</w:t>
      </w:r>
      <w:r>
        <w:rPr>
          <w:sz w:val="24"/>
          <w:szCs w:val="24"/>
        </w:rPr>
        <w:t>30</w:t>
      </w:r>
      <w:r>
        <w:rPr>
          <w:rFonts w:hint="eastAsia" w:hAnsi="宋体"/>
          <w:sz w:val="24"/>
          <w:szCs w:val="24"/>
        </w:rPr>
        <w:t>天以内，卖方应向买方递交两份经签字的性能试验报告，其中包括所完成试验的结果、所使用的仪器及试验人员的签字。</w:t>
      </w:r>
    </w:p>
    <w:p>
      <w:pPr>
        <w:topLinePunct/>
        <w:adjustRightInd w:val="0"/>
        <w:snapToGrid w:val="0"/>
        <w:spacing w:line="360" w:lineRule="auto"/>
        <w:ind w:firstLine="480" w:firstLineChars="200"/>
        <w:rPr>
          <w:sz w:val="24"/>
          <w:szCs w:val="24"/>
        </w:rPr>
      </w:pPr>
      <w:r>
        <w:rPr>
          <w:rFonts w:hint="eastAsia" w:hAnsi="宋体"/>
          <w:sz w:val="24"/>
          <w:szCs w:val="24"/>
        </w:rPr>
        <w:t>卖方应派合格的工程师到买方现场组织实施</w:t>
      </w:r>
      <w:r>
        <w:rPr>
          <w:sz w:val="24"/>
          <w:szCs w:val="24"/>
        </w:rPr>
        <w:t>SAT</w:t>
      </w:r>
      <w:r>
        <w:rPr>
          <w:rFonts w:hint="eastAsia" w:hAnsi="宋体"/>
          <w:sz w:val="24"/>
          <w:szCs w:val="24"/>
        </w:rPr>
        <w:t>，</w:t>
      </w:r>
      <w:r>
        <w:rPr>
          <w:sz w:val="24"/>
          <w:szCs w:val="24"/>
        </w:rPr>
        <w:t>SAT</w:t>
      </w:r>
      <w:r>
        <w:rPr>
          <w:rFonts w:hint="eastAsia" w:hAnsi="宋体"/>
          <w:sz w:val="24"/>
          <w:szCs w:val="24"/>
        </w:rPr>
        <w:t>和现场服务所需的费用应包括在合同中并单列。</w:t>
      </w:r>
    </w:p>
    <w:p>
      <w:pPr>
        <w:pStyle w:val="13"/>
        <w:adjustRightInd w:val="0"/>
        <w:snapToGrid w:val="0"/>
        <w:spacing w:line="360" w:lineRule="auto"/>
        <w:jc w:val="both"/>
        <w:outlineLvl w:val="0"/>
        <w:rPr>
          <w:rFonts w:ascii="Times New Roman" w:eastAsia="宋体"/>
          <w:b/>
          <w:color w:val="auto"/>
          <w:sz w:val="24"/>
          <w:szCs w:val="24"/>
        </w:rPr>
      </w:pPr>
      <w:bookmarkStart w:id="112" w:name="_Toc244156626"/>
      <w:bookmarkStart w:id="113" w:name="_Toc244156679"/>
      <w:bookmarkStart w:id="114" w:name="_Toc247777306"/>
      <w:bookmarkStart w:id="115" w:name="_Toc244155681"/>
      <w:bookmarkStart w:id="116" w:name="_Toc244075276"/>
      <w:bookmarkStart w:id="117" w:name="_Toc244155644"/>
      <w:bookmarkStart w:id="118" w:name="_Toc103766757"/>
      <w:bookmarkStart w:id="119" w:name="_Toc244399772"/>
      <w:r>
        <w:rPr>
          <w:rFonts w:ascii="Times New Roman" w:eastAsia="宋体"/>
          <w:b/>
          <w:color w:val="auto"/>
          <w:sz w:val="24"/>
          <w:szCs w:val="24"/>
        </w:rPr>
        <w:t>5</w:t>
      </w:r>
      <w:r>
        <w:rPr>
          <w:rFonts w:hint="eastAsia" w:ascii="Times New Roman" w:hAnsi="宋体" w:eastAsia="宋体"/>
          <w:b/>
          <w:color w:val="auto"/>
          <w:sz w:val="24"/>
          <w:szCs w:val="24"/>
        </w:rPr>
        <w:t>　质量保证及管理</w:t>
      </w:r>
      <w:bookmarkEnd w:id="112"/>
      <w:bookmarkEnd w:id="113"/>
      <w:bookmarkEnd w:id="114"/>
      <w:bookmarkEnd w:id="115"/>
      <w:bookmarkEnd w:id="116"/>
      <w:bookmarkEnd w:id="117"/>
      <w:bookmarkEnd w:id="118"/>
      <w:bookmarkEnd w:id="119"/>
    </w:p>
    <w:p>
      <w:pPr>
        <w:topLinePunct/>
        <w:adjustRightInd w:val="0"/>
        <w:snapToGrid w:val="0"/>
        <w:spacing w:line="360" w:lineRule="auto"/>
        <w:rPr>
          <w:sz w:val="24"/>
          <w:szCs w:val="24"/>
        </w:rPr>
      </w:pPr>
      <w:bookmarkStart w:id="120" w:name="_Toc97018543"/>
      <w:bookmarkStart w:id="121" w:name="_Toc97018440"/>
      <w:bookmarkStart w:id="122" w:name="_Toc97018145"/>
      <w:r>
        <w:rPr>
          <w:kern w:val="0"/>
          <w:sz w:val="24"/>
          <w:szCs w:val="24"/>
        </w:rPr>
        <w:t>5.1</w:t>
      </w:r>
      <w:r>
        <w:rPr>
          <w:rFonts w:hint="eastAsia" w:hAnsi="宋体"/>
          <w:sz w:val="24"/>
          <w:szCs w:val="24"/>
        </w:rPr>
        <w:t>　卖方应保证其所提供的所有设备都是全新的，未使用过的，且按最佳方式进行设计和制造。采用的是优质材料和先进工艺，并在各方面符合合同规定的质量、规格和性能要求。</w:t>
      </w:r>
      <w:bookmarkEnd w:id="120"/>
      <w:bookmarkEnd w:id="121"/>
      <w:bookmarkEnd w:id="122"/>
    </w:p>
    <w:p>
      <w:pPr>
        <w:topLinePunct/>
        <w:adjustRightInd w:val="0"/>
        <w:snapToGrid w:val="0"/>
        <w:spacing w:line="360" w:lineRule="auto"/>
        <w:rPr>
          <w:sz w:val="24"/>
          <w:szCs w:val="24"/>
        </w:rPr>
      </w:pPr>
      <w:bookmarkStart w:id="123" w:name="_Toc97018441"/>
      <w:bookmarkStart w:id="124" w:name="_Toc97018544"/>
      <w:bookmarkStart w:id="125" w:name="_Toc97018146"/>
      <w:r>
        <w:rPr>
          <w:sz w:val="24"/>
          <w:szCs w:val="24"/>
        </w:rPr>
        <w:t>5.2</w:t>
      </w:r>
      <w:r>
        <w:rPr>
          <w:rFonts w:hint="eastAsia" w:hAnsi="宋体"/>
          <w:sz w:val="24"/>
          <w:szCs w:val="24"/>
        </w:rPr>
        <w:t>　卖方应保证系统硬件设备经过正确安装、正常操作和保养，在其寿命期内运行良好。卖方应承诺系统主要设备及部件的运行寿命不少于</w:t>
      </w:r>
      <w:r>
        <w:rPr>
          <w:sz w:val="24"/>
          <w:szCs w:val="24"/>
        </w:rPr>
        <w:t>10</w:t>
      </w:r>
      <w:r>
        <w:rPr>
          <w:rFonts w:hint="eastAsia" w:hAnsi="宋体"/>
          <w:sz w:val="24"/>
          <w:szCs w:val="24"/>
        </w:rPr>
        <w:t>年。由于卖方设计、材料或工艺的原因所造成的缺陷或故障，在合理的运行寿命期限内卖方应免费负责修理或更换有缺陷的零部件、模板或整机。</w:t>
      </w:r>
      <w:bookmarkEnd w:id="123"/>
      <w:bookmarkEnd w:id="124"/>
      <w:bookmarkEnd w:id="125"/>
    </w:p>
    <w:p>
      <w:pPr>
        <w:topLinePunct/>
        <w:adjustRightInd w:val="0"/>
        <w:snapToGrid w:val="0"/>
        <w:spacing w:line="360" w:lineRule="auto"/>
        <w:rPr>
          <w:sz w:val="24"/>
          <w:szCs w:val="24"/>
        </w:rPr>
      </w:pPr>
      <w:bookmarkStart w:id="126" w:name="_Toc97018545"/>
      <w:bookmarkStart w:id="127" w:name="_Toc97018442"/>
      <w:bookmarkStart w:id="128" w:name="_Toc97018147"/>
      <w:r>
        <w:rPr>
          <w:sz w:val="24"/>
          <w:szCs w:val="24"/>
        </w:rPr>
        <w:t>5.3</w:t>
      </w:r>
      <w:bookmarkEnd w:id="126"/>
      <w:bookmarkEnd w:id="127"/>
      <w:bookmarkEnd w:id="128"/>
      <w:r>
        <w:rPr>
          <w:rFonts w:hint="eastAsia" w:hAnsi="宋体"/>
          <w:sz w:val="24"/>
          <w:szCs w:val="24"/>
        </w:rPr>
        <w:t>　质量保证期（包括软件功能）为</w:t>
      </w:r>
      <w:r>
        <w:rPr>
          <w:sz w:val="24"/>
          <w:szCs w:val="24"/>
        </w:rPr>
        <w:t>2</w:t>
      </w:r>
      <w:r>
        <w:rPr>
          <w:rFonts w:hint="eastAsia" w:hAnsi="宋体"/>
          <w:sz w:val="24"/>
          <w:szCs w:val="24"/>
        </w:rPr>
        <w:t>年，按照到货</w:t>
      </w:r>
      <w:r>
        <w:rPr>
          <w:sz w:val="24"/>
          <w:szCs w:val="24"/>
        </w:rPr>
        <w:t>24</w:t>
      </w:r>
      <w:r>
        <w:rPr>
          <w:rFonts w:hint="eastAsia" w:hAnsi="宋体"/>
          <w:sz w:val="24"/>
          <w:szCs w:val="24"/>
        </w:rPr>
        <w:t>个月或者现场验收后</w:t>
      </w:r>
      <w:r>
        <w:rPr>
          <w:sz w:val="24"/>
          <w:szCs w:val="24"/>
        </w:rPr>
        <w:t>18</w:t>
      </w:r>
      <w:r>
        <w:rPr>
          <w:rFonts w:hint="eastAsia" w:hAnsi="宋体"/>
          <w:sz w:val="24"/>
          <w:szCs w:val="24"/>
        </w:rPr>
        <w:t>个月，以先到为准。</w:t>
      </w:r>
    </w:p>
    <w:p>
      <w:pPr>
        <w:topLinePunct/>
        <w:adjustRightInd w:val="0"/>
        <w:snapToGrid w:val="0"/>
        <w:spacing w:line="360" w:lineRule="auto"/>
        <w:rPr>
          <w:sz w:val="24"/>
          <w:szCs w:val="24"/>
        </w:rPr>
      </w:pPr>
      <w:bookmarkStart w:id="129" w:name="_Toc97018546"/>
      <w:bookmarkStart w:id="130" w:name="_Toc97018148"/>
      <w:bookmarkStart w:id="131" w:name="_Toc97018443"/>
      <w:r>
        <w:rPr>
          <w:sz w:val="24"/>
          <w:szCs w:val="24"/>
        </w:rPr>
        <w:t>5.4</w:t>
      </w:r>
      <w:r>
        <w:rPr>
          <w:rFonts w:hint="eastAsia" w:hAnsi="宋体"/>
          <w:sz w:val="24"/>
          <w:szCs w:val="24"/>
        </w:rPr>
        <w:t>　在质量保证期内由于卖方设备或软件的质量问题而造成系统的停运，卖方应负责尽快更换有缺陷或损坏的部件、或者调整相应的软件，并赔偿有此造成的损失。</w:t>
      </w:r>
      <w:bookmarkEnd w:id="129"/>
      <w:bookmarkEnd w:id="130"/>
      <w:bookmarkEnd w:id="131"/>
    </w:p>
    <w:p>
      <w:pPr>
        <w:topLinePunct/>
        <w:adjustRightInd w:val="0"/>
        <w:snapToGrid w:val="0"/>
        <w:spacing w:line="360" w:lineRule="auto"/>
        <w:rPr>
          <w:sz w:val="24"/>
          <w:szCs w:val="24"/>
        </w:rPr>
      </w:pPr>
      <w:bookmarkStart w:id="132" w:name="_Toc97018547"/>
      <w:bookmarkStart w:id="133" w:name="_Toc97018444"/>
      <w:bookmarkStart w:id="134" w:name="_Toc97018149"/>
      <w:r>
        <w:rPr>
          <w:sz w:val="24"/>
          <w:szCs w:val="24"/>
        </w:rPr>
        <w:t>5.5</w:t>
      </w:r>
      <w:r>
        <w:rPr>
          <w:rFonts w:hint="eastAsia" w:hAnsi="宋体"/>
          <w:sz w:val="24"/>
          <w:szCs w:val="24"/>
        </w:rPr>
        <w:t>　卖方应对合同设备的设计、材料和零部件选购、加工、制造、集成组态、试验等过程建立严格的质量保证体系，并在合同的整个制造和集成组态过程中严格按其执行。卖方提供的所有设备均应附有制造商发出的，有卖方签字的检查记录、质量保证书和试验报告。</w:t>
      </w:r>
      <w:bookmarkEnd w:id="132"/>
      <w:bookmarkEnd w:id="133"/>
      <w:bookmarkEnd w:id="134"/>
    </w:p>
    <w:p>
      <w:pPr>
        <w:topLinePunct/>
        <w:adjustRightInd w:val="0"/>
        <w:snapToGrid w:val="0"/>
        <w:spacing w:line="360" w:lineRule="auto"/>
        <w:rPr>
          <w:sz w:val="24"/>
          <w:szCs w:val="24"/>
        </w:rPr>
      </w:pPr>
      <w:bookmarkStart w:id="135" w:name="_Toc97018445"/>
      <w:bookmarkStart w:id="136" w:name="_Toc97018150"/>
      <w:bookmarkStart w:id="137" w:name="_Toc97018548"/>
      <w:r>
        <w:rPr>
          <w:sz w:val="24"/>
          <w:szCs w:val="24"/>
        </w:rPr>
        <w:t>5.6</w:t>
      </w:r>
      <w:r>
        <w:rPr>
          <w:rFonts w:hint="eastAsia" w:hAnsi="宋体"/>
          <w:sz w:val="24"/>
          <w:szCs w:val="24"/>
        </w:rPr>
        <w:t>　卖方应采用有运行经验证明正确的、成熟的技术来进行合同设备的生产和系统的组态。如采用卖方过去从未采用过的新技术，应征得买方的同意。</w:t>
      </w:r>
      <w:bookmarkEnd w:id="135"/>
      <w:bookmarkEnd w:id="136"/>
      <w:bookmarkEnd w:id="137"/>
    </w:p>
    <w:p>
      <w:pPr>
        <w:topLinePunct/>
        <w:adjustRightInd w:val="0"/>
        <w:snapToGrid w:val="0"/>
        <w:spacing w:line="360" w:lineRule="auto"/>
        <w:rPr>
          <w:sz w:val="24"/>
          <w:szCs w:val="24"/>
        </w:rPr>
      </w:pPr>
      <w:bookmarkStart w:id="138" w:name="_Toc97018446"/>
      <w:bookmarkStart w:id="139" w:name="_Toc97018549"/>
      <w:bookmarkStart w:id="140" w:name="_Toc97018151"/>
      <w:r>
        <w:rPr>
          <w:sz w:val="24"/>
          <w:szCs w:val="24"/>
        </w:rPr>
        <w:t>5.7</w:t>
      </w:r>
      <w:r>
        <w:rPr>
          <w:rFonts w:hint="eastAsia" w:hAnsi="宋体"/>
          <w:sz w:val="24"/>
          <w:szCs w:val="24"/>
        </w:rPr>
        <w:t>　卖方从其他厂商采购的软件和设备，一切质量、版权问题应由卖方负责。</w:t>
      </w:r>
      <w:bookmarkEnd w:id="138"/>
      <w:bookmarkEnd w:id="139"/>
      <w:bookmarkEnd w:id="140"/>
    </w:p>
    <w:p>
      <w:pPr>
        <w:topLinePunct/>
        <w:adjustRightInd w:val="0"/>
        <w:snapToGrid w:val="0"/>
        <w:spacing w:line="360" w:lineRule="auto"/>
        <w:rPr>
          <w:sz w:val="24"/>
          <w:szCs w:val="24"/>
        </w:rPr>
      </w:pPr>
      <w:bookmarkStart w:id="141" w:name="_Toc97018447"/>
      <w:bookmarkStart w:id="142" w:name="_Toc97018550"/>
      <w:bookmarkStart w:id="143" w:name="_Toc97018152"/>
      <w:r>
        <w:rPr>
          <w:sz w:val="24"/>
          <w:szCs w:val="24"/>
        </w:rPr>
        <w:t>5.8</w:t>
      </w:r>
      <w:r>
        <w:rPr>
          <w:rFonts w:hint="eastAsia" w:hAnsi="宋体"/>
          <w:sz w:val="24"/>
          <w:szCs w:val="24"/>
        </w:rPr>
        <w:t>　卖方应提供支持服务</w:t>
      </w:r>
      <w:bookmarkEnd w:id="141"/>
      <w:bookmarkEnd w:id="142"/>
      <w:bookmarkEnd w:id="143"/>
      <w:r>
        <w:rPr>
          <w:rFonts w:hint="eastAsia" w:hAnsi="宋体"/>
          <w:sz w:val="24"/>
          <w:szCs w:val="24"/>
        </w:rPr>
        <w:t>。</w:t>
      </w:r>
    </w:p>
    <w:p>
      <w:pPr>
        <w:topLinePunct/>
        <w:adjustRightInd w:val="0"/>
        <w:snapToGrid w:val="0"/>
        <w:spacing w:line="360" w:lineRule="auto"/>
        <w:rPr>
          <w:sz w:val="24"/>
          <w:szCs w:val="24"/>
        </w:rPr>
      </w:pPr>
      <w:r>
        <w:rPr>
          <w:sz w:val="24"/>
          <w:szCs w:val="24"/>
        </w:rPr>
        <w:t>5.8.1</w:t>
      </w:r>
      <w:r>
        <w:rPr>
          <w:rFonts w:hint="eastAsia" w:hAnsi="宋体"/>
          <w:sz w:val="24"/>
          <w:szCs w:val="24"/>
        </w:rPr>
        <w:t>　提供对所有系统硬件和软件维护问题的帮助，应提供一天</w:t>
      </w:r>
      <w:r>
        <w:rPr>
          <w:sz w:val="24"/>
          <w:szCs w:val="24"/>
        </w:rPr>
        <w:t>24h</w:t>
      </w:r>
      <w:r>
        <w:rPr>
          <w:rFonts w:hint="eastAsia" w:hAnsi="宋体"/>
          <w:sz w:val="24"/>
          <w:szCs w:val="24"/>
        </w:rPr>
        <w:t>、一周</w:t>
      </w:r>
      <w:r>
        <w:rPr>
          <w:sz w:val="24"/>
          <w:szCs w:val="24"/>
        </w:rPr>
        <w:t>7</w:t>
      </w:r>
      <w:r>
        <w:rPr>
          <w:rFonts w:hint="eastAsia" w:hAnsi="宋体"/>
          <w:sz w:val="24"/>
          <w:szCs w:val="24"/>
        </w:rPr>
        <w:t>天的紧急帮助服务，紧急帮助可采用远程诊断方式（远程诊断的方式所需要的软硬件设备应包含在投标报价中）。</w:t>
      </w:r>
    </w:p>
    <w:p>
      <w:pPr>
        <w:topLinePunct/>
        <w:adjustRightInd w:val="0"/>
        <w:snapToGrid w:val="0"/>
        <w:spacing w:line="360" w:lineRule="auto"/>
        <w:rPr>
          <w:sz w:val="24"/>
          <w:szCs w:val="24"/>
        </w:rPr>
      </w:pPr>
      <w:r>
        <w:rPr>
          <w:sz w:val="24"/>
          <w:szCs w:val="24"/>
        </w:rPr>
        <w:t>5.8.2</w:t>
      </w:r>
      <w:r>
        <w:rPr>
          <w:rFonts w:hint="eastAsia" w:hAnsi="宋体"/>
          <w:sz w:val="24"/>
          <w:szCs w:val="24"/>
        </w:rPr>
        <w:t>　可通过电话提供支持服务，指导买方技术人员诊断存在的技术问题。如果买方技术人员不能解决问题，卖方应派遣维护人员赶赴现场。</w:t>
      </w:r>
    </w:p>
    <w:p>
      <w:pPr>
        <w:topLinePunct/>
        <w:adjustRightInd w:val="0"/>
        <w:snapToGrid w:val="0"/>
        <w:spacing w:line="360" w:lineRule="auto"/>
        <w:rPr>
          <w:sz w:val="24"/>
          <w:szCs w:val="24"/>
        </w:rPr>
      </w:pPr>
      <w:r>
        <w:rPr>
          <w:sz w:val="24"/>
          <w:szCs w:val="24"/>
        </w:rPr>
        <w:t>5.8.3</w:t>
      </w:r>
      <w:r>
        <w:rPr>
          <w:rFonts w:hint="eastAsia" w:hAnsi="宋体"/>
          <w:sz w:val="24"/>
          <w:szCs w:val="24"/>
        </w:rPr>
        <w:t>　支持服务的报价应包括交通、住宿和人工费用。</w:t>
      </w:r>
    </w:p>
    <w:p>
      <w:pPr>
        <w:pStyle w:val="13"/>
        <w:adjustRightInd w:val="0"/>
        <w:snapToGrid w:val="0"/>
        <w:spacing w:line="360" w:lineRule="auto"/>
        <w:jc w:val="both"/>
        <w:outlineLvl w:val="0"/>
        <w:rPr>
          <w:rFonts w:ascii="Times New Roman" w:eastAsia="宋体"/>
          <w:b/>
          <w:color w:val="auto"/>
          <w:sz w:val="24"/>
          <w:szCs w:val="24"/>
        </w:rPr>
      </w:pPr>
      <w:bookmarkStart w:id="144" w:name="_Toc97018551"/>
      <w:bookmarkStart w:id="145" w:name="_Toc247777307"/>
      <w:bookmarkStart w:id="146" w:name="_Toc103766758"/>
      <w:bookmarkStart w:id="147" w:name="_Toc244156680"/>
      <w:bookmarkStart w:id="148" w:name="_Toc244156627"/>
      <w:bookmarkStart w:id="149" w:name="_Toc244399773"/>
      <w:bookmarkStart w:id="150" w:name="_Toc244155682"/>
      <w:bookmarkStart w:id="151" w:name="_Toc244075277"/>
      <w:bookmarkStart w:id="152" w:name="_Toc97018153"/>
      <w:bookmarkStart w:id="153" w:name="_Toc244155645"/>
      <w:r>
        <w:rPr>
          <w:rFonts w:ascii="Times New Roman" w:eastAsia="宋体"/>
          <w:b/>
          <w:color w:val="auto"/>
          <w:sz w:val="24"/>
          <w:szCs w:val="24"/>
        </w:rPr>
        <w:t>6</w:t>
      </w:r>
      <w:r>
        <w:rPr>
          <w:rFonts w:hint="eastAsia" w:ascii="Times New Roman" w:hAnsi="宋体" w:eastAsia="宋体"/>
          <w:b/>
          <w:color w:val="auto"/>
          <w:sz w:val="24"/>
          <w:szCs w:val="24"/>
        </w:rPr>
        <w:t>　技术服务</w:t>
      </w:r>
      <w:bookmarkEnd w:id="144"/>
      <w:bookmarkEnd w:id="145"/>
      <w:bookmarkEnd w:id="146"/>
      <w:bookmarkEnd w:id="147"/>
      <w:bookmarkEnd w:id="148"/>
      <w:bookmarkEnd w:id="149"/>
      <w:bookmarkEnd w:id="150"/>
      <w:bookmarkEnd w:id="151"/>
      <w:bookmarkEnd w:id="152"/>
      <w:bookmarkEnd w:id="153"/>
    </w:p>
    <w:p>
      <w:pPr>
        <w:topLinePunct/>
        <w:adjustRightInd w:val="0"/>
        <w:snapToGrid w:val="0"/>
        <w:spacing w:line="360" w:lineRule="auto"/>
        <w:rPr>
          <w:sz w:val="24"/>
          <w:szCs w:val="24"/>
        </w:rPr>
      </w:pPr>
      <w:bookmarkStart w:id="154" w:name="_Toc97018449"/>
      <w:bookmarkStart w:id="155" w:name="_Toc97018552"/>
      <w:bookmarkStart w:id="156" w:name="_Toc97018154"/>
      <w:r>
        <w:rPr>
          <w:sz w:val="24"/>
          <w:szCs w:val="24"/>
        </w:rPr>
        <w:t>6.1</w:t>
      </w:r>
      <w:r>
        <w:rPr>
          <w:rFonts w:hint="eastAsia" w:hAnsi="宋体"/>
          <w:sz w:val="24"/>
          <w:szCs w:val="24"/>
        </w:rPr>
        <w:t>　卖方应必须指派合格的、有经验的安装监督人员和试验工程师到现场，对合同设备的安装、调试和现场试验等工作进行技术指导和监督。卖方的现场工程师应对所有安装工作的正确性负责，除非买方的现场安装人员的工作未按照卖方指导人员的意见执行，并且卖方的现场工程师立即以书面的形式将此情况通知买方项目负责人。</w:t>
      </w:r>
      <w:bookmarkEnd w:id="154"/>
      <w:bookmarkEnd w:id="155"/>
      <w:bookmarkEnd w:id="156"/>
    </w:p>
    <w:p>
      <w:pPr>
        <w:topLinePunct/>
        <w:adjustRightInd w:val="0"/>
        <w:snapToGrid w:val="0"/>
        <w:spacing w:line="360" w:lineRule="auto"/>
        <w:rPr>
          <w:sz w:val="24"/>
          <w:szCs w:val="24"/>
        </w:rPr>
      </w:pPr>
      <w:bookmarkStart w:id="157" w:name="_Toc97018450"/>
      <w:bookmarkStart w:id="158" w:name="_Toc97018155"/>
      <w:bookmarkStart w:id="159" w:name="_Toc97018553"/>
      <w:r>
        <w:rPr>
          <w:sz w:val="24"/>
          <w:szCs w:val="24"/>
        </w:rPr>
        <w:t>6.2</w:t>
      </w:r>
      <w:r>
        <w:rPr>
          <w:rFonts w:hint="eastAsia" w:hAnsi="宋体"/>
          <w:sz w:val="24"/>
          <w:szCs w:val="24"/>
        </w:rPr>
        <w:t>　卖方指定的工地代表应在合同范围内全面与买方的工地代表合作与协商，解决合同有关的技术问题和现场安装工作问题。双方的工地代表未经授权，无权变更和修改合同。</w:t>
      </w:r>
      <w:bookmarkEnd w:id="157"/>
      <w:bookmarkEnd w:id="158"/>
      <w:bookmarkEnd w:id="159"/>
    </w:p>
    <w:p>
      <w:pPr>
        <w:topLinePunct/>
        <w:adjustRightInd w:val="0"/>
        <w:snapToGrid w:val="0"/>
        <w:spacing w:line="360" w:lineRule="auto"/>
        <w:rPr>
          <w:sz w:val="24"/>
          <w:szCs w:val="24"/>
        </w:rPr>
      </w:pPr>
      <w:bookmarkStart w:id="160" w:name="_Toc97018554"/>
      <w:bookmarkStart w:id="161" w:name="_Toc97018451"/>
      <w:bookmarkStart w:id="162" w:name="_Toc97018156"/>
      <w:r>
        <w:rPr>
          <w:sz w:val="24"/>
          <w:szCs w:val="24"/>
        </w:rPr>
        <w:t>6.3</w:t>
      </w:r>
      <w:r>
        <w:rPr>
          <w:rFonts w:hint="eastAsia" w:hAnsi="宋体"/>
          <w:sz w:val="24"/>
          <w:szCs w:val="24"/>
        </w:rPr>
        <w:t>　卖方现场工程师应完成合同规定的有关技术服务，进行指导、监督设备的安装、调试和验收试验。卖方现场工程师应对买方人员详细解释技术文件、图纸、运行和维护手册、设备特性、分析方法和有关的注意事项等，以及解答和解决买方在合同范围内提出的技术问题。</w:t>
      </w:r>
      <w:bookmarkEnd w:id="160"/>
      <w:bookmarkEnd w:id="161"/>
      <w:bookmarkEnd w:id="162"/>
    </w:p>
    <w:p>
      <w:pPr>
        <w:topLinePunct/>
        <w:adjustRightInd w:val="0"/>
        <w:snapToGrid w:val="0"/>
        <w:spacing w:line="360" w:lineRule="auto"/>
        <w:rPr>
          <w:sz w:val="24"/>
          <w:szCs w:val="24"/>
        </w:rPr>
      </w:pPr>
      <w:bookmarkStart w:id="163" w:name="_Toc97018157"/>
      <w:bookmarkStart w:id="164" w:name="_Toc97018452"/>
      <w:bookmarkStart w:id="165" w:name="_Toc97018555"/>
      <w:r>
        <w:rPr>
          <w:sz w:val="24"/>
          <w:szCs w:val="24"/>
        </w:rPr>
        <w:t>6.4</w:t>
      </w:r>
      <w:r>
        <w:rPr>
          <w:rFonts w:hint="eastAsia" w:hAnsi="宋体"/>
          <w:sz w:val="24"/>
          <w:szCs w:val="24"/>
        </w:rPr>
        <w:t>　卖方现场工程师有义务协助买方在现场对运行和维护的人员进行必要的培训。</w:t>
      </w:r>
      <w:bookmarkEnd w:id="163"/>
      <w:bookmarkEnd w:id="164"/>
      <w:bookmarkEnd w:id="165"/>
    </w:p>
    <w:p>
      <w:pPr>
        <w:topLinePunct/>
        <w:adjustRightInd w:val="0"/>
        <w:snapToGrid w:val="0"/>
        <w:spacing w:line="360" w:lineRule="auto"/>
        <w:rPr>
          <w:sz w:val="24"/>
          <w:szCs w:val="24"/>
        </w:rPr>
      </w:pPr>
      <w:bookmarkStart w:id="166" w:name="_Toc97018158"/>
      <w:bookmarkStart w:id="167" w:name="_Toc97018556"/>
      <w:bookmarkStart w:id="168" w:name="_Toc97018453"/>
      <w:r>
        <w:rPr>
          <w:sz w:val="24"/>
          <w:szCs w:val="24"/>
        </w:rPr>
        <w:t>6.5</w:t>
      </w:r>
      <w:r>
        <w:rPr>
          <w:rFonts w:hint="eastAsia" w:hAnsi="宋体"/>
          <w:sz w:val="24"/>
          <w:szCs w:val="24"/>
        </w:rPr>
        <w:t>　如因卖方技术人员的错误指导而引起设备和材料的损坏，卖方应负责修复、更换或补充，其费用由卖方承担，该费用中还包括进行修复期间所发生的服务费。</w:t>
      </w:r>
      <w:bookmarkEnd w:id="166"/>
      <w:bookmarkEnd w:id="167"/>
      <w:bookmarkEnd w:id="168"/>
    </w:p>
    <w:p>
      <w:pPr>
        <w:topLinePunct/>
        <w:adjustRightInd w:val="0"/>
        <w:snapToGrid w:val="0"/>
        <w:spacing w:line="360" w:lineRule="auto"/>
        <w:rPr>
          <w:sz w:val="24"/>
          <w:szCs w:val="24"/>
        </w:rPr>
      </w:pPr>
      <w:bookmarkStart w:id="169" w:name="_Toc97018159"/>
      <w:bookmarkStart w:id="170" w:name="_Toc97018557"/>
      <w:bookmarkStart w:id="171" w:name="_Toc97018454"/>
      <w:r>
        <w:rPr>
          <w:sz w:val="24"/>
          <w:szCs w:val="24"/>
        </w:rPr>
        <w:t>6.6</w:t>
      </w:r>
      <w:r>
        <w:rPr>
          <w:rFonts w:hint="eastAsia" w:hAnsi="宋体"/>
          <w:sz w:val="24"/>
          <w:szCs w:val="24"/>
        </w:rPr>
        <w:t>　如因卖方原因造成安装或现场试验工作的拖期，买方有权要求卖方的安装监督人员或试验工程师继续留在现场服务，且费用由卖方自理。如因买方的原因造成安装或试验的拖期，买方根据需要有权要求卖方的安装监督人员或试验工程师继续留在现场服务，并承担有关费用。</w:t>
      </w:r>
      <w:bookmarkEnd w:id="169"/>
      <w:bookmarkEnd w:id="170"/>
      <w:bookmarkEnd w:id="171"/>
    </w:p>
    <w:p>
      <w:pPr>
        <w:topLinePunct/>
        <w:adjustRightInd w:val="0"/>
        <w:snapToGrid w:val="0"/>
        <w:spacing w:line="360" w:lineRule="auto"/>
        <w:rPr>
          <w:sz w:val="24"/>
          <w:szCs w:val="24"/>
        </w:rPr>
      </w:pPr>
      <w:bookmarkStart w:id="172" w:name="_Toc97018455"/>
      <w:bookmarkStart w:id="173" w:name="_Toc97018558"/>
      <w:bookmarkStart w:id="174" w:name="_Toc97018160"/>
      <w:r>
        <w:rPr>
          <w:sz w:val="24"/>
          <w:szCs w:val="24"/>
        </w:rPr>
        <w:t>6.7</w:t>
      </w:r>
      <w:bookmarkEnd w:id="172"/>
      <w:bookmarkEnd w:id="173"/>
      <w:bookmarkEnd w:id="174"/>
      <w:r>
        <w:rPr>
          <w:rFonts w:hint="eastAsia" w:hAnsi="宋体"/>
          <w:sz w:val="24"/>
          <w:szCs w:val="24"/>
        </w:rPr>
        <w:t>　供方保证服务期同寿命期，免费服务期为</w:t>
      </w:r>
      <w:r>
        <w:rPr>
          <w:sz w:val="24"/>
          <w:szCs w:val="24"/>
        </w:rPr>
        <w:t>2</w:t>
      </w:r>
      <w:r>
        <w:rPr>
          <w:rFonts w:hint="eastAsia" w:hAnsi="宋体"/>
          <w:sz w:val="24"/>
          <w:szCs w:val="24"/>
        </w:rPr>
        <w:t>年。</w:t>
      </w:r>
    </w:p>
    <w:p>
      <w:pPr>
        <w:pStyle w:val="13"/>
        <w:adjustRightInd w:val="0"/>
        <w:snapToGrid w:val="0"/>
        <w:spacing w:line="360" w:lineRule="auto"/>
        <w:jc w:val="both"/>
        <w:outlineLvl w:val="0"/>
        <w:rPr>
          <w:rFonts w:ascii="Times New Roman" w:eastAsia="宋体"/>
          <w:b/>
          <w:color w:val="auto"/>
          <w:sz w:val="24"/>
          <w:szCs w:val="24"/>
        </w:rPr>
      </w:pPr>
      <w:bookmarkStart w:id="175" w:name="_Toc244155684"/>
      <w:bookmarkStart w:id="176" w:name="_Toc244399775"/>
      <w:bookmarkStart w:id="177" w:name="_Toc103766759"/>
      <w:bookmarkStart w:id="178" w:name="_Toc244156629"/>
      <w:bookmarkStart w:id="179" w:name="_Toc244155647"/>
      <w:bookmarkStart w:id="180" w:name="_Toc244156682"/>
      <w:bookmarkStart w:id="181" w:name="_Toc247777308"/>
      <w:bookmarkStart w:id="182" w:name="_Toc244075279"/>
      <w:r>
        <w:rPr>
          <w:rFonts w:ascii="Times New Roman" w:eastAsia="宋体"/>
          <w:b/>
          <w:color w:val="auto"/>
          <w:sz w:val="24"/>
          <w:szCs w:val="24"/>
        </w:rPr>
        <w:t>7</w:t>
      </w:r>
      <w:r>
        <w:rPr>
          <w:rFonts w:hint="eastAsia" w:ascii="Times New Roman" w:hAnsi="宋体" w:eastAsia="宋体"/>
          <w:b/>
          <w:color w:val="auto"/>
          <w:sz w:val="24"/>
          <w:szCs w:val="24"/>
        </w:rPr>
        <w:t>　备品备件、仪器仪表及专用工具</w:t>
      </w:r>
      <w:bookmarkEnd w:id="175"/>
      <w:bookmarkEnd w:id="176"/>
      <w:bookmarkEnd w:id="177"/>
      <w:bookmarkEnd w:id="178"/>
      <w:bookmarkEnd w:id="179"/>
      <w:bookmarkEnd w:id="180"/>
      <w:bookmarkEnd w:id="181"/>
      <w:bookmarkEnd w:id="182"/>
    </w:p>
    <w:p>
      <w:pPr>
        <w:pStyle w:val="17"/>
        <w:widowControl w:val="0"/>
        <w:topLinePunct/>
        <w:autoSpaceDE/>
        <w:adjustRightInd w:val="0"/>
        <w:snapToGrid w:val="0"/>
        <w:spacing w:line="360" w:lineRule="auto"/>
        <w:ind w:firstLine="480"/>
        <w:rPr>
          <w:rFonts w:ascii="Times New Roman"/>
          <w:sz w:val="24"/>
          <w:szCs w:val="24"/>
        </w:rPr>
      </w:pPr>
      <w:r>
        <w:rPr>
          <w:rFonts w:hint="eastAsia" w:ascii="Times New Roman" w:hAnsi="宋体"/>
          <w:sz w:val="24"/>
          <w:szCs w:val="24"/>
        </w:rPr>
        <w:t>卖方根据所提供的设备，认为必须或者建议的备品、备件，以及在工程安装、调试、试验、验收，设备运行时所必须或者建议的仪器、仪表、工具也必须列出并提供。</w:t>
      </w:r>
      <w:bookmarkStart w:id="183" w:name="_Toc244075280"/>
      <w:bookmarkStart w:id="184" w:name="_Toc244156630"/>
      <w:bookmarkStart w:id="185" w:name="_Toc244156683"/>
      <w:bookmarkStart w:id="186" w:name="_Toc244155648"/>
      <w:bookmarkStart w:id="187" w:name="_Toc244155685"/>
      <w:bookmarkStart w:id="188" w:name="_Toc244399776"/>
    </w:p>
    <w:p>
      <w:pPr>
        <w:pStyle w:val="13"/>
        <w:adjustRightInd w:val="0"/>
        <w:snapToGrid w:val="0"/>
        <w:spacing w:line="360" w:lineRule="auto"/>
        <w:jc w:val="both"/>
        <w:outlineLvl w:val="0"/>
        <w:rPr>
          <w:rFonts w:ascii="Times New Roman" w:eastAsia="宋体"/>
          <w:b/>
          <w:color w:val="auto"/>
          <w:sz w:val="24"/>
          <w:szCs w:val="24"/>
        </w:rPr>
      </w:pPr>
      <w:bookmarkStart w:id="189" w:name="_Toc247777309"/>
      <w:bookmarkStart w:id="190" w:name="_Toc103766760"/>
      <w:r>
        <w:rPr>
          <w:rFonts w:ascii="Times New Roman" w:eastAsia="宋体"/>
          <w:b/>
          <w:color w:val="auto"/>
          <w:sz w:val="24"/>
          <w:szCs w:val="24"/>
        </w:rPr>
        <w:t>8</w:t>
      </w:r>
      <w:r>
        <w:rPr>
          <w:rFonts w:hint="eastAsia" w:ascii="Times New Roman" w:hAnsi="宋体" w:eastAsia="宋体"/>
          <w:b/>
          <w:color w:val="auto"/>
          <w:sz w:val="24"/>
          <w:szCs w:val="24"/>
        </w:rPr>
        <w:t>　技术资料、图纸和说明书</w:t>
      </w:r>
      <w:bookmarkEnd w:id="183"/>
      <w:bookmarkEnd w:id="184"/>
      <w:bookmarkEnd w:id="185"/>
      <w:bookmarkEnd w:id="186"/>
      <w:bookmarkEnd w:id="187"/>
      <w:bookmarkEnd w:id="188"/>
      <w:bookmarkEnd w:id="189"/>
      <w:bookmarkEnd w:id="190"/>
    </w:p>
    <w:p>
      <w:pPr>
        <w:topLinePunct/>
        <w:adjustRightInd w:val="0"/>
        <w:snapToGrid w:val="0"/>
        <w:spacing w:line="360" w:lineRule="auto"/>
        <w:ind w:firstLine="480" w:firstLineChars="200"/>
        <w:rPr>
          <w:sz w:val="24"/>
          <w:szCs w:val="24"/>
        </w:rPr>
      </w:pPr>
      <w:r>
        <w:rPr>
          <w:rFonts w:hint="eastAsia" w:hAnsi="宋体"/>
          <w:sz w:val="24"/>
          <w:szCs w:val="24"/>
        </w:rPr>
        <w:t>为了确保系统验收、现场施工设计、安装、投运、维护的需要，卖方应提供系统的设计文件、安装文件和图纸、检验记录、工程竣工文件、</w:t>
      </w:r>
      <w:r>
        <w:rPr>
          <w:sz w:val="24"/>
          <w:szCs w:val="24"/>
        </w:rPr>
        <w:t>SAT</w:t>
      </w:r>
      <w:r>
        <w:rPr>
          <w:rFonts w:hint="eastAsia" w:hAnsi="宋体"/>
          <w:sz w:val="24"/>
          <w:szCs w:val="24"/>
        </w:rPr>
        <w:t>文档、技术手册、用户手册、设备技术使用的说明书等资料，并对所提供的全部技术资料的准确性负责。</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8.1</w:t>
      </w:r>
      <w:r>
        <w:rPr>
          <w:rFonts w:hint="eastAsia" w:ascii="Times New Roman" w:hAnsi="宋体" w:eastAsia="宋体"/>
          <w:color w:val="auto"/>
          <w:sz w:val="24"/>
          <w:szCs w:val="24"/>
        </w:rPr>
        <w:t>　文件资料的数量</w:t>
      </w:r>
    </w:p>
    <w:p>
      <w:pPr>
        <w:topLinePunct/>
        <w:adjustRightInd w:val="0"/>
        <w:snapToGrid w:val="0"/>
        <w:spacing w:line="360" w:lineRule="auto"/>
        <w:ind w:firstLine="480" w:firstLineChars="200"/>
        <w:rPr>
          <w:sz w:val="24"/>
          <w:szCs w:val="24"/>
        </w:rPr>
      </w:pPr>
      <w:bookmarkStart w:id="191" w:name="_Toc97017983"/>
      <w:r>
        <w:rPr>
          <w:rFonts w:hint="eastAsia" w:hAnsi="宋体"/>
          <w:sz w:val="24"/>
          <w:szCs w:val="24"/>
        </w:rPr>
        <w:t>卖方提供的图纸和资料的数量为</w:t>
      </w:r>
      <w:r>
        <w:rPr>
          <w:sz w:val="24"/>
          <w:szCs w:val="24"/>
        </w:rPr>
        <w:t>4</w:t>
      </w:r>
      <w:r>
        <w:rPr>
          <w:rFonts w:hint="eastAsia" w:hAnsi="宋体"/>
          <w:sz w:val="24"/>
          <w:szCs w:val="24"/>
        </w:rPr>
        <w:t>套。</w:t>
      </w:r>
      <w:bookmarkEnd w:id="191"/>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w:t>
      </w:r>
      <w:r>
        <w:rPr>
          <w:rFonts w:hint="eastAsia" w:ascii="Times New Roman" w:hAnsi="宋体" w:eastAsia="宋体"/>
          <w:color w:val="auto"/>
          <w:sz w:val="24"/>
          <w:szCs w:val="24"/>
        </w:rPr>
        <w:t>　文件资料的内容</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8.2.1</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设计文件。</w:t>
      </w:r>
      <w:bookmarkStart w:id="192" w:name="_Toc97017984"/>
      <w:r>
        <w:rPr>
          <w:rFonts w:hint="eastAsia" w:ascii="Times New Roman" w:hAnsi="宋体" w:eastAsia="宋体"/>
          <w:color w:val="auto"/>
          <w:kern w:val="0"/>
          <w:sz w:val="24"/>
          <w:szCs w:val="24"/>
        </w:rPr>
        <w:t>卖方根据本技术规范书进行系统设备制造所编制的图纸和说明，包括：</w:t>
      </w:r>
      <w:bookmarkEnd w:id="192"/>
    </w:p>
    <w:p>
      <w:pPr>
        <w:topLinePunct/>
        <w:adjustRightInd w:val="0"/>
        <w:snapToGrid w:val="0"/>
        <w:spacing w:line="360" w:lineRule="auto"/>
        <w:ind w:firstLine="480" w:firstLineChars="200"/>
        <w:rPr>
          <w:sz w:val="24"/>
          <w:szCs w:val="24"/>
        </w:rPr>
      </w:pPr>
      <w:bookmarkStart w:id="193" w:name="_Toc97017985"/>
      <w:r>
        <w:rPr>
          <w:sz w:val="24"/>
          <w:szCs w:val="24"/>
        </w:rPr>
        <w:t>1</w:t>
      </w:r>
      <w:r>
        <w:rPr>
          <w:rFonts w:hint="eastAsia" w:hAnsi="宋体"/>
          <w:sz w:val="24"/>
          <w:szCs w:val="24"/>
        </w:rPr>
        <w:t>）</w:t>
      </w:r>
      <w:r>
        <w:rPr>
          <w:sz w:val="24"/>
          <w:szCs w:val="24"/>
        </w:rPr>
        <w:tab/>
      </w:r>
      <w:r>
        <w:rPr>
          <w:rFonts w:hint="eastAsia" w:hAnsi="宋体"/>
          <w:sz w:val="24"/>
          <w:szCs w:val="24"/>
        </w:rPr>
        <w:t>全部设备的配置和构成图及设备、材料清单</w:t>
      </w:r>
      <w:bookmarkEnd w:id="193"/>
      <w:r>
        <w:rPr>
          <w:rFonts w:hint="eastAsia" w:hAnsi="宋体"/>
          <w:sz w:val="24"/>
          <w:szCs w:val="24"/>
        </w:rPr>
        <w:t>；</w:t>
      </w:r>
    </w:p>
    <w:p>
      <w:pPr>
        <w:topLinePunct/>
        <w:adjustRightInd w:val="0"/>
        <w:snapToGrid w:val="0"/>
        <w:spacing w:line="360" w:lineRule="auto"/>
        <w:ind w:firstLine="480" w:firstLineChars="200"/>
        <w:rPr>
          <w:sz w:val="24"/>
          <w:szCs w:val="24"/>
        </w:rPr>
      </w:pPr>
      <w:bookmarkStart w:id="194" w:name="_Toc97017986"/>
      <w:r>
        <w:rPr>
          <w:sz w:val="24"/>
          <w:szCs w:val="24"/>
        </w:rPr>
        <w:t>2</w:t>
      </w:r>
      <w:r>
        <w:rPr>
          <w:rFonts w:hint="eastAsia" w:hAnsi="宋体"/>
          <w:sz w:val="24"/>
          <w:szCs w:val="24"/>
        </w:rPr>
        <w:t>）</w:t>
      </w:r>
      <w:r>
        <w:rPr>
          <w:sz w:val="24"/>
          <w:szCs w:val="24"/>
        </w:rPr>
        <w:tab/>
      </w:r>
      <w:r>
        <w:rPr>
          <w:rFonts w:hint="eastAsia" w:hAnsi="宋体"/>
          <w:sz w:val="24"/>
          <w:szCs w:val="24"/>
        </w:rPr>
        <w:t>全部设备的技术说明书，包括型号、技术特点和性能参数等</w:t>
      </w:r>
      <w:bookmarkEnd w:id="194"/>
      <w:r>
        <w:rPr>
          <w:rFonts w:hint="eastAsia" w:hAnsi="宋体"/>
          <w:sz w:val="24"/>
          <w:szCs w:val="24"/>
        </w:rPr>
        <w:t>；</w:t>
      </w:r>
    </w:p>
    <w:p>
      <w:pPr>
        <w:topLinePunct/>
        <w:adjustRightInd w:val="0"/>
        <w:snapToGrid w:val="0"/>
        <w:spacing w:line="360" w:lineRule="auto"/>
        <w:ind w:firstLine="480" w:firstLineChars="200"/>
        <w:rPr>
          <w:sz w:val="24"/>
          <w:szCs w:val="24"/>
        </w:rPr>
      </w:pPr>
      <w:bookmarkStart w:id="195" w:name="_Toc97017987"/>
      <w:r>
        <w:rPr>
          <w:sz w:val="24"/>
          <w:szCs w:val="24"/>
        </w:rPr>
        <w:t>3</w:t>
      </w:r>
      <w:r>
        <w:rPr>
          <w:rFonts w:hint="eastAsia" w:hAnsi="宋体"/>
          <w:sz w:val="24"/>
          <w:szCs w:val="24"/>
        </w:rPr>
        <w:t>）</w:t>
      </w:r>
      <w:r>
        <w:rPr>
          <w:sz w:val="24"/>
          <w:szCs w:val="24"/>
        </w:rPr>
        <w:t xml:space="preserve"> </w:t>
      </w:r>
      <w:r>
        <w:rPr>
          <w:rFonts w:hint="eastAsia" w:hAnsi="宋体"/>
          <w:sz w:val="24"/>
          <w:szCs w:val="24"/>
        </w:rPr>
        <w:t>设备和机柜的布置和电缆连线图</w:t>
      </w:r>
      <w:bookmarkEnd w:id="195"/>
      <w:r>
        <w:rPr>
          <w:rFonts w:hint="eastAsia" w:hAnsi="宋体"/>
          <w:sz w:val="24"/>
          <w:szCs w:val="24"/>
        </w:rPr>
        <w:t>；</w:t>
      </w:r>
    </w:p>
    <w:p>
      <w:pPr>
        <w:topLinePunct/>
        <w:adjustRightInd w:val="0"/>
        <w:snapToGrid w:val="0"/>
        <w:spacing w:line="360" w:lineRule="auto"/>
        <w:ind w:firstLine="480" w:firstLineChars="200"/>
        <w:rPr>
          <w:sz w:val="24"/>
          <w:szCs w:val="24"/>
        </w:rPr>
      </w:pPr>
      <w:bookmarkStart w:id="196" w:name="_Toc97017988"/>
      <w:r>
        <w:rPr>
          <w:sz w:val="24"/>
          <w:szCs w:val="24"/>
        </w:rPr>
        <w:t>4</w:t>
      </w:r>
      <w:r>
        <w:rPr>
          <w:rFonts w:hint="eastAsia" w:hAnsi="宋体"/>
          <w:sz w:val="24"/>
          <w:szCs w:val="24"/>
        </w:rPr>
        <w:t>）</w:t>
      </w:r>
      <w:r>
        <w:rPr>
          <w:sz w:val="24"/>
          <w:szCs w:val="24"/>
        </w:rPr>
        <w:t xml:space="preserve"> </w:t>
      </w:r>
      <w:r>
        <w:rPr>
          <w:rFonts w:hint="eastAsia" w:hAnsi="宋体"/>
          <w:sz w:val="24"/>
          <w:szCs w:val="24"/>
        </w:rPr>
        <w:t>软件说明书、功能及清单。</w:t>
      </w:r>
      <w:bookmarkEnd w:id="196"/>
    </w:p>
    <w:p>
      <w:pPr>
        <w:topLinePunct/>
        <w:adjustRightInd w:val="0"/>
        <w:snapToGrid w:val="0"/>
        <w:spacing w:line="360" w:lineRule="auto"/>
        <w:rPr>
          <w:sz w:val="24"/>
          <w:szCs w:val="24"/>
        </w:rPr>
      </w:pPr>
      <w:r>
        <w:rPr>
          <w:sz w:val="24"/>
          <w:szCs w:val="24"/>
        </w:rPr>
        <w:t>8.2.2</w:t>
      </w:r>
      <w:r>
        <w:rPr>
          <w:rFonts w:hint="eastAsia" w:hAnsi="宋体"/>
          <w:sz w:val="24"/>
          <w:szCs w:val="24"/>
        </w:rPr>
        <w:t>　安装文件。</w:t>
      </w:r>
    </w:p>
    <w:p>
      <w:pPr>
        <w:topLinePunct/>
        <w:adjustRightInd w:val="0"/>
        <w:snapToGrid w:val="0"/>
        <w:spacing w:line="360" w:lineRule="auto"/>
        <w:ind w:firstLine="480" w:firstLineChars="200"/>
        <w:rPr>
          <w:sz w:val="24"/>
          <w:szCs w:val="24"/>
        </w:rPr>
      </w:pPr>
      <w:bookmarkStart w:id="197" w:name="_Toc97017989"/>
      <w:r>
        <w:rPr>
          <w:sz w:val="24"/>
          <w:szCs w:val="24"/>
        </w:rPr>
        <w:t>1</w:t>
      </w:r>
      <w:r>
        <w:rPr>
          <w:rFonts w:hint="eastAsia" w:hAnsi="宋体"/>
          <w:sz w:val="24"/>
          <w:szCs w:val="24"/>
        </w:rPr>
        <w:t>）</w:t>
      </w:r>
      <w:r>
        <w:rPr>
          <w:sz w:val="24"/>
          <w:szCs w:val="24"/>
        </w:rPr>
        <w:t xml:space="preserve"> </w:t>
      </w:r>
      <w:r>
        <w:rPr>
          <w:rFonts w:hint="eastAsia" w:hAnsi="宋体"/>
          <w:sz w:val="24"/>
          <w:szCs w:val="24"/>
        </w:rPr>
        <w:t>设备的安装手册或说明书</w:t>
      </w:r>
      <w:bookmarkEnd w:id="197"/>
      <w:r>
        <w:rPr>
          <w:rFonts w:hint="eastAsia" w:hAnsi="宋体"/>
          <w:sz w:val="24"/>
          <w:szCs w:val="24"/>
        </w:rPr>
        <w:t>；</w:t>
      </w:r>
    </w:p>
    <w:p>
      <w:pPr>
        <w:topLinePunct/>
        <w:adjustRightInd w:val="0"/>
        <w:snapToGrid w:val="0"/>
        <w:spacing w:line="360" w:lineRule="auto"/>
        <w:ind w:firstLine="480" w:firstLineChars="200"/>
        <w:rPr>
          <w:sz w:val="24"/>
          <w:szCs w:val="24"/>
        </w:rPr>
      </w:pPr>
      <w:bookmarkStart w:id="198" w:name="_Toc97017990"/>
      <w:r>
        <w:rPr>
          <w:sz w:val="24"/>
          <w:szCs w:val="24"/>
        </w:rPr>
        <w:t>2</w:t>
      </w:r>
      <w:r>
        <w:rPr>
          <w:rFonts w:hint="eastAsia" w:hAnsi="宋体"/>
          <w:sz w:val="24"/>
          <w:szCs w:val="24"/>
        </w:rPr>
        <w:t>）</w:t>
      </w:r>
      <w:r>
        <w:rPr>
          <w:sz w:val="24"/>
          <w:szCs w:val="24"/>
        </w:rPr>
        <w:t xml:space="preserve"> </w:t>
      </w:r>
      <w:r>
        <w:rPr>
          <w:rFonts w:hint="eastAsia" w:hAnsi="宋体"/>
          <w:sz w:val="24"/>
          <w:szCs w:val="24"/>
        </w:rPr>
        <w:t>机柜屏面布置图、需与买方设备连接的详细端子图</w:t>
      </w:r>
      <w:bookmarkEnd w:id="198"/>
      <w:r>
        <w:rPr>
          <w:rFonts w:hint="eastAsia" w:hAnsi="宋体"/>
          <w:sz w:val="24"/>
          <w:szCs w:val="24"/>
        </w:rPr>
        <w:t>；</w:t>
      </w:r>
    </w:p>
    <w:p>
      <w:pPr>
        <w:topLinePunct/>
        <w:adjustRightInd w:val="0"/>
        <w:snapToGrid w:val="0"/>
        <w:spacing w:line="360" w:lineRule="auto"/>
        <w:ind w:firstLine="480" w:firstLineChars="200"/>
        <w:rPr>
          <w:sz w:val="24"/>
          <w:szCs w:val="24"/>
        </w:rPr>
      </w:pPr>
      <w:bookmarkStart w:id="199" w:name="_Toc97017991"/>
      <w:r>
        <w:rPr>
          <w:sz w:val="24"/>
          <w:szCs w:val="24"/>
        </w:rPr>
        <w:t>3</w:t>
      </w:r>
      <w:r>
        <w:rPr>
          <w:rFonts w:hint="eastAsia" w:hAnsi="宋体"/>
          <w:sz w:val="24"/>
          <w:szCs w:val="24"/>
        </w:rPr>
        <w:t>）</w:t>
      </w:r>
      <w:r>
        <w:rPr>
          <w:sz w:val="24"/>
          <w:szCs w:val="24"/>
        </w:rPr>
        <w:t xml:space="preserve"> </w:t>
      </w:r>
      <w:r>
        <w:rPr>
          <w:rFonts w:hint="eastAsia" w:hAnsi="宋体"/>
          <w:sz w:val="24"/>
          <w:szCs w:val="24"/>
        </w:rPr>
        <w:t>设备安装尺寸、开孔、固定连接、接地连接图</w:t>
      </w:r>
      <w:bookmarkEnd w:id="199"/>
      <w:r>
        <w:rPr>
          <w:rFonts w:hint="eastAsia" w:hAnsi="宋体"/>
          <w:sz w:val="24"/>
          <w:szCs w:val="24"/>
        </w:rPr>
        <w:t>；</w:t>
      </w:r>
    </w:p>
    <w:p>
      <w:pPr>
        <w:topLinePunct/>
        <w:adjustRightInd w:val="0"/>
        <w:snapToGrid w:val="0"/>
        <w:spacing w:line="360" w:lineRule="auto"/>
        <w:ind w:firstLine="480" w:firstLineChars="200"/>
        <w:rPr>
          <w:sz w:val="24"/>
          <w:szCs w:val="24"/>
        </w:rPr>
      </w:pPr>
      <w:bookmarkStart w:id="200" w:name="_Toc97017992"/>
      <w:r>
        <w:rPr>
          <w:sz w:val="24"/>
          <w:szCs w:val="24"/>
        </w:rPr>
        <w:t>4</w:t>
      </w:r>
      <w:r>
        <w:rPr>
          <w:rFonts w:hint="eastAsia" w:hAnsi="宋体"/>
          <w:sz w:val="24"/>
          <w:szCs w:val="24"/>
        </w:rPr>
        <w:t>）</w:t>
      </w:r>
      <w:r>
        <w:rPr>
          <w:sz w:val="24"/>
          <w:szCs w:val="24"/>
        </w:rPr>
        <w:t xml:space="preserve"> </w:t>
      </w:r>
      <w:r>
        <w:rPr>
          <w:rFonts w:hint="eastAsia" w:hAnsi="宋体"/>
          <w:sz w:val="24"/>
          <w:szCs w:val="24"/>
        </w:rPr>
        <w:t>设备防护措施及环境要求。</w:t>
      </w:r>
      <w:bookmarkEnd w:id="200"/>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8.2.3</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系统运行维护资料。</w:t>
      </w:r>
      <w:bookmarkStart w:id="201" w:name="_Toc97017993"/>
      <w:r>
        <w:rPr>
          <w:rFonts w:hint="eastAsia" w:ascii="Times New Roman" w:hAnsi="宋体" w:eastAsia="宋体"/>
          <w:color w:val="auto"/>
          <w:kern w:val="0"/>
          <w:sz w:val="24"/>
          <w:szCs w:val="24"/>
        </w:rPr>
        <w:t>应提供保证系统正常运行、维护所必需的文件和资料，包括：</w:t>
      </w:r>
      <w:bookmarkEnd w:id="201"/>
    </w:p>
    <w:p>
      <w:pPr>
        <w:topLinePunct/>
        <w:adjustRightInd w:val="0"/>
        <w:snapToGrid w:val="0"/>
        <w:spacing w:line="360" w:lineRule="auto"/>
        <w:ind w:firstLine="480" w:firstLineChars="200"/>
        <w:rPr>
          <w:sz w:val="24"/>
          <w:szCs w:val="24"/>
        </w:rPr>
      </w:pPr>
      <w:bookmarkStart w:id="202" w:name="_Toc97017994"/>
      <w:r>
        <w:rPr>
          <w:sz w:val="24"/>
          <w:szCs w:val="24"/>
        </w:rPr>
        <w:t>1</w:t>
      </w:r>
      <w:r>
        <w:rPr>
          <w:rFonts w:hint="eastAsia" w:hAnsi="宋体"/>
          <w:sz w:val="24"/>
          <w:szCs w:val="24"/>
        </w:rPr>
        <w:t>）</w:t>
      </w:r>
      <w:r>
        <w:rPr>
          <w:sz w:val="24"/>
          <w:szCs w:val="24"/>
        </w:rPr>
        <w:t xml:space="preserve"> </w:t>
      </w:r>
      <w:r>
        <w:rPr>
          <w:rFonts w:hint="eastAsia" w:hAnsi="宋体"/>
          <w:sz w:val="24"/>
          <w:szCs w:val="24"/>
        </w:rPr>
        <w:t>运行操作文件</w:t>
      </w:r>
      <w:bookmarkEnd w:id="202"/>
      <w:bookmarkStart w:id="203" w:name="_Toc97017995"/>
      <w:r>
        <w:rPr>
          <w:rFonts w:hint="eastAsia" w:hAnsi="宋体"/>
          <w:sz w:val="24"/>
          <w:szCs w:val="24"/>
        </w:rPr>
        <w:t>：为操作员提供使用本系统设备的操作说明书、运行手册等</w:t>
      </w:r>
      <w:bookmarkEnd w:id="203"/>
      <w:r>
        <w:rPr>
          <w:rFonts w:hint="eastAsia" w:hAnsi="宋体"/>
          <w:sz w:val="24"/>
          <w:szCs w:val="24"/>
        </w:rPr>
        <w:t>；</w:t>
      </w:r>
    </w:p>
    <w:p>
      <w:pPr>
        <w:topLinePunct/>
        <w:adjustRightInd w:val="0"/>
        <w:snapToGrid w:val="0"/>
        <w:spacing w:line="360" w:lineRule="auto"/>
        <w:ind w:firstLine="480" w:firstLineChars="200"/>
        <w:rPr>
          <w:sz w:val="24"/>
          <w:szCs w:val="24"/>
        </w:rPr>
      </w:pPr>
      <w:bookmarkStart w:id="204" w:name="_Toc97017996"/>
      <w:r>
        <w:rPr>
          <w:sz w:val="24"/>
          <w:szCs w:val="24"/>
        </w:rPr>
        <w:t>2</w:t>
      </w:r>
      <w:r>
        <w:rPr>
          <w:rFonts w:hint="eastAsia" w:hAnsi="宋体"/>
          <w:sz w:val="24"/>
          <w:szCs w:val="24"/>
        </w:rPr>
        <w:t>）</w:t>
      </w:r>
      <w:r>
        <w:rPr>
          <w:sz w:val="24"/>
          <w:szCs w:val="24"/>
        </w:rPr>
        <w:t xml:space="preserve"> </w:t>
      </w:r>
      <w:r>
        <w:rPr>
          <w:rFonts w:hint="eastAsia" w:hAnsi="宋体"/>
          <w:sz w:val="24"/>
          <w:szCs w:val="24"/>
        </w:rPr>
        <w:t>维护诊断文件，主要有软硬件设备诊断维护手册、用户手册、故障检查及维修说明，维护诊断、设备使用手册等</w:t>
      </w:r>
      <w:bookmarkEnd w:id="204"/>
      <w:r>
        <w:rPr>
          <w:rFonts w:hint="eastAsia" w:hAnsi="宋体"/>
          <w:sz w:val="24"/>
          <w:szCs w:val="24"/>
        </w:rPr>
        <w:t>；</w:t>
      </w:r>
    </w:p>
    <w:p>
      <w:pPr>
        <w:topLinePunct/>
        <w:adjustRightInd w:val="0"/>
        <w:snapToGrid w:val="0"/>
        <w:spacing w:line="360" w:lineRule="auto"/>
        <w:ind w:firstLine="480" w:firstLineChars="200"/>
        <w:rPr>
          <w:sz w:val="24"/>
          <w:szCs w:val="24"/>
        </w:rPr>
      </w:pPr>
      <w:bookmarkStart w:id="205" w:name="_Toc97017997"/>
      <w:r>
        <w:rPr>
          <w:sz w:val="24"/>
          <w:szCs w:val="24"/>
        </w:rPr>
        <w:t>3</w:t>
      </w:r>
      <w:r>
        <w:rPr>
          <w:rFonts w:hint="eastAsia" w:hAnsi="宋体"/>
          <w:sz w:val="24"/>
          <w:szCs w:val="24"/>
        </w:rPr>
        <w:t>）</w:t>
      </w:r>
      <w:r>
        <w:rPr>
          <w:sz w:val="24"/>
          <w:szCs w:val="24"/>
        </w:rPr>
        <w:t xml:space="preserve"> </w:t>
      </w:r>
      <w:r>
        <w:rPr>
          <w:rFonts w:hint="eastAsia" w:hAnsi="宋体"/>
          <w:sz w:val="24"/>
          <w:szCs w:val="24"/>
        </w:rPr>
        <w:t>针对用户运行、维护的培训教材。</w:t>
      </w:r>
      <w:bookmarkEnd w:id="205"/>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8.2.4</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检验记录</w:t>
      </w:r>
      <w:r>
        <w:rPr>
          <w:rFonts w:hint="eastAsia" w:ascii="Times New Roman" w:hAnsi="宋体" w:eastAsia="宋体"/>
          <w:color w:val="auto"/>
          <w:sz w:val="24"/>
          <w:szCs w:val="24"/>
        </w:rPr>
        <w:t>。</w:t>
      </w:r>
    </w:p>
    <w:p>
      <w:pPr>
        <w:topLinePunct/>
        <w:adjustRightInd w:val="0"/>
        <w:snapToGrid w:val="0"/>
        <w:spacing w:line="360" w:lineRule="auto"/>
        <w:ind w:firstLine="480" w:firstLineChars="200"/>
        <w:rPr>
          <w:sz w:val="24"/>
          <w:szCs w:val="24"/>
        </w:rPr>
      </w:pPr>
      <w:bookmarkStart w:id="206" w:name="_Toc97017998"/>
      <w:r>
        <w:rPr>
          <w:sz w:val="24"/>
          <w:szCs w:val="24"/>
        </w:rPr>
        <w:t>1</w:t>
      </w:r>
      <w:r>
        <w:rPr>
          <w:rFonts w:hint="eastAsia" w:hAnsi="宋体"/>
          <w:sz w:val="24"/>
          <w:szCs w:val="24"/>
        </w:rPr>
        <w:t>）</w:t>
      </w:r>
      <w:r>
        <w:rPr>
          <w:sz w:val="24"/>
          <w:szCs w:val="24"/>
        </w:rPr>
        <w:t xml:space="preserve"> </w:t>
      </w:r>
      <w:r>
        <w:rPr>
          <w:rFonts w:hint="eastAsia" w:hAnsi="宋体"/>
          <w:sz w:val="24"/>
          <w:szCs w:val="24"/>
        </w:rPr>
        <w:t>全部设备的出厂检验证书</w:t>
      </w:r>
      <w:bookmarkEnd w:id="206"/>
      <w:r>
        <w:rPr>
          <w:rFonts w:hint="eastAsia" w:hAnsi="宋体"/>
          <w:sz w:val="24"/>
          <w:szCs w:val="24"/>
        </w:rPr>
        <w:t>；</w:t>
      </w:r>
    </w:p>
    <w:p>
      <w:pPr>
        <w:topLinePunct/>
        <w:adjustRightInd w:val="0"/>
        <w:snapToGrid w:val="0"/>
        <w:spacing w:line="360" w:lineRule="auto"/>
        <w:ind w:firstLine="480" w:firstLineChars="200"/>
        <w:rPr>
          <w:sz w:val="24"/>
          <w:szCs w:val="24"/>
        </w:rPr>
      </w:pPr>
      <w:bookmarkStart w:id="207" w:name="_Toc97017999"/>
      <w:r>
        <w:rPr>
          <w:sz w:val="24"/>
          <w:szCs w:val="24"/>
        </w:rPr>
        <w:t>2</w:t>
      </w:r>
      <w:r>
        <w:rPr>
          <w:rFonts w:hint="eastAsia" w:hAnsi="宋体"/>
          <w:sz w:val="24"/>
          <w:szCs w:val="24"/>
        </w:rPr>
        <w:t>）</w:t>
      </w:r>
      <w:r>
        <w:rPr>
          <w:sz w:val="24"/>
          <w:szCs w:val="24"/>
        </w:rPr>
        <w:t xml:space="preserve"> </w:t>
      </w:r>
      <w:r>
        <w:rPr>
          <w:rFonts w:hint="eastAsia" w:hAnsi="宋体"/>
          <w:sz w:val="24"/>
          <w:szCs w:val="24"/>
        </w:rPr>
        <w:t>系统的出厂检验记录</w:t>
      </w:r>
      <w:bookmarkEnd w:id="207"/>
      <w:r>
        <w:rPr>
          <w:rFonts w:hint="eastAsia" w:hAnsi="宋体"/>
          <w:sz w:val="24"/>
          <w:szCs w:val="24"/>
        </w:rPr>
        <w:t>；</w:t>
      </w:r>
    </w:p>
    <w:p>
      <w:pPr>
        <w:topLinePunct/>
        <w:adjustRightInd w:val="0"/>
        <w:snapToGrid w:val="0"/>
        <w:spacing w:line="360" w:lineRule="auto"/>
        <w:ind w:firstLine="480" w:firstLineChars="200"/>
        <w:rPr>
          <w:sz w:val="24"/>
          <w:szCs w:val="24"/>
        </w:rPr>
      </w:pPr>
      <w:bookmarkStart w:id="208" w:name="_Toc97018000"/>
      <w:r>
        <w:rPr>
          <w:sz w:val="24"/>
          <w:szCs w:val="24"/>
        </w:rPr>
        <w:t>3</w:t>
      </w:r>
      <w:r>
        <w:rPr>
          <w:rFonts w:hint="eastAsia" w:hAnsi="宋体"/>
          <w:sz w:val="24"/>
          <w:szCs w:val="24"/>
        </w:rPr>
        <w:t>）</w:t>
      </w:r>
      <w:r>
        <w:rPr>
          <w:sz w:val="24"/>
          <w:szCs w:val="24"/>
        </w:rPr>
        <w:t xml:space="preserve"> </w:t>
      </w:r>
      <w:r>
        <w:rPr>
          <w:rFonts w:hint="eastAsia" w:hAnsi="宋体"/>
          <w:sz w:val="24"/>
          <w:szCs w:val="24"/>
        </w:rPr>
        <w:t>系统的现场验收记录</w:t>
      </w:r>
      <w:bookmarkEnd w:id="208"/>
      <w:r>
        <w:rPr>
          <w:sz w:val="24"/>
          <w:szCs w:val="24"/>
        </w:rPr>
        <w:t>SAT</w:t>
      </w:r>
      <w:r>
        <w:rPr>
          <w:rFonts w:hint="eastAsia" w:hAnsi="宋体"/>
          <w:sz w:val="24"/>
          <w:szCs w:val="24"/>
        </w:rPr>
        <w:t>。</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8.2.5</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工程竣工资料等</w:t>
      </w:r>
      <w:r>
        <w:rPr>
          <w:rFonts w:hint="eastAsia" w:ascii="Times New Roman" w:hAnsi="宋体" w:eastAsia="宋体"/>
          <w:color w:val="auto"/>
          <w:sz w:val="24"/>
          <w:szCs w:val="24"/>
        </w:rPr>
        <w:t>。</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8.3</w:t>
      </w:r>
      <w:r>
        <w:rPr>
          <w:rFonts w:hint="eastAsia" w:ascii="Times New Roman" w:hAnsi="宋体" w:eastAsia="宋体"/>
          <w:color w:val="auto"/>
          <w:sz w:val="24"/>
          <w:szCs w:val="24"/>
        </w:rPr>
        <w:t>　图纸规格</w:t>
      </w:r>
    </w:p>
    <w:p>
      <w:pPr>
        <w:topLinePunct/>
        <w:adjustRightInd w:val="0"/>
        <w:snapToGrid w:val="0"/>
        <w:spacing w:line="360" w:lineRule="auto"/>
        <w:ind w:firstLine="480" w:firstLineChars="200"/>
        <w:rPr>
          <w:sz w:val="24"/>
          <w:szCs w:val="24"/>
        </w:rPr>
      </w:pPr>
      <w:bookmarkStart w:id="209" w:name="_Toc97018001"/>
      <w:r>
        <w:rPr>
          <w:rFonts w:hint="eastAsia" w:hAnsi="宋体"/>
          <w:sz w:val="24"/>
          <w:szCs w:val="24"/>
        </w:rPr>
        <w:t>卖方提供的所有图纸应符合</w:t>
      </w:r>
      <w:r>
        <w:rPr>
          <w:sz w:val="24"/>
          <w:szCs w:val="24"/>
        </w:rPr>
        <w:t>ISO</w:t>
      </w:r>
      <w:r>
        <w:rPr>
          <w:rFonts w:hint="eastAsia" w:hAnsi="宋体"/>
          <w:sz w:val="24"/>
          <w:szCs w:val="24"/>
        </w:rPr>
        <w:t>标准，图纸及技术文件、说明书等资料应使用中文书写，尺寸采用</w:t>
      </w:r>
      <w:r>
        <w:rPr>
          <w:sz w:val="24"/>
          <w:szCs w:val="24"/>
        </w:rPr>
        <w:t>SI</w:t>
      </w:r>
      <w:r>
        <w:rPr>
          <w:rFonts w:hint="eastAsia" w:hAnsi="宋体"/>
          <w:sz w:val="24"/>
          <w:szCs w:val="24"/>
        </w:rPr>
        <w:t>制。</w:t>
      </w:r>
      <w:bookmarkEnd w:id="209"/>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8.4</w:t>
      </w:r>
      <w:r>
        <w:rPr>
          <w:rFonts w:hint="eastAsia" w:ascii="Times New Roman" w:hAnsi="宋体" w:eastAsia="宋体"/>
          <w:color w:val="auto"/>
          <w:sz w:val="24"/>
          <w:szCs w:val="24"/>
        </w:rPr>
        <w:t>　资料和图纸提交进度</w:t>
      </w:r>
    </w:p>
    <w:p>
      <w:pPr>
        <w:topLinePunct/>
        <w:adjustRightInd w:val="0"/>
        <w:snapToGrid w:val="0"/>
        <w:spacing w:line="360" w:lineRule="auto"/>
        <w:ind w:firstLine="480" w:firstLineChars="200"/>
        <w:rPr>
          <w:sz w:val="24"/>
          <w:szCs w:val="24"/>
        </w:rPr>
      </w:pPr>
      <w:bookmarkStart w:id="210" w:name="_Toc97018002"/>
      <w:r>
        <w:rPr>
          <w:rFonts w:hint="eastAsia" w:hAnsi="宋体"/>
          <w:sz w:val="24"/>
          <w:szCs w:val="24"/>
        </w:rPr>
        <w:t>卖方负责在合同签字生效后</w:t>
      </w:r>
      <w:r>
        <w:rPr>
          <w:sz w:val="24"/>
          <w:szCs w:val="24"/>
        </w:rPr>
        <w:t>2</w:t>
      </w:r>
      <w:r>
        <w:rPr>
          <w:rFonts w:hint="eastAsia" w:hAnsi="宋体"/>
          <w:sz w:val="24"/>
          <w:szCs w:val="24"/>
        </w:rPr>
        <w:t>周内提供所供设备的初步设计文件。经设计联络会讨论确定后，在设计联络会后</w:t>
      </w:r>
      <w:r>
        <w:rPr>
          <w:sz w:val="24"/>
          <w:szCs w:val="24"/>
        </w:rPr>
        <w:t>2</w:t>
      </w:r>
      <w:r>
        <w:rPr>
          <w:rFonts w:hint="eastAsia" w:hAnsi="宋体"/>
          <w:sz w:val="24"/>
          <w:szCs w:val="24"/>
        </w:rPr>
        <w:t>周内提交最终的设计文件和全部图纸，同时应提交针对用户运行、维护的培训教材。</w:t>
      </w:r>
      <w:bookmarkEnd w:id="210"/>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8.5</w:t>
      </w:r>
      <w:r>
        <w:rPr>
          <w:rFonts w:hint="eastAsia" w:ascii="Times New Roman" w:hAnsi="宋体" w:eastAsia="宋体"/>
          <w:color w:val="auto"/>
          <w:sz w:val="24"/>
          <w:szCs w:val="24"/>
        </w:rPr>
        <w:t>　资料的形式</w:t>
      </w:r>
    </w:p>
    <w:p>
      <w:pPr>
        <w:topLinePunct/>
        <w:adjustRightInd w:val="0"/>
        <w:snapToGrid w:val="0"/>
        <w:spacing w:line="360" w:lineRule="auto"/>
        <w:ind w:firstLine="480" w:firstLineChars="200"/>
        <w:rPr>
          <w:sz w:val="24"/>
          <w:szCs w:val="24"/>
        </w:rPr>
      </w:pPr>
      <w:r>
        <w:rPr>
          <w:rFonts w:hint="eastAsia" w:hAnsi="宋体"/>
          <w:sz w:val="24"/>
          <w:szCs w:val="24"/>
        </w:rPr>
        <w:t>除了随设备自身的纸质文档外，其他文件均需要以电子文件和纸质形式提供。</w:t>
      </w:r>
    </w:p>
    <w:p>
      <w:pPr>
        <w:pStyle w:val="13"/>
        <w:adjustRightInd w:val="0"/>
        <w:snapToGrid w:val="0"/>
        <w:spacing w:line="360" w:lineRule="auto"/>
        <w:jc w:val="both"/>
        <w:outlineLvl w:val="0"/>
        <w:rPr>
          <w:rFonts w:ascii="Times New Roman" w:hAnsi="宋体" w:eastAsia="宋体"/>
          <w:b/>
          <w:color w:val="auto"/>
          <w:sz w:val="24"/>
          <w:szCs w:val="24"/>
        </w:rPr>
      </w:pPr>
      <w:bookmarkStart w:id="211" w:name="_Toc244155649"/>
      <w:bookmarkStart w:id="212" w:name="_Toc247777310"/>
      <w:bookmarkStart w:id="213" w:name="_Toc244155686"/>
      <w:bookmarkStart w:id="214" w:name="_Toc244075281"/>
      <w:bookmarkStart w:id="215" w:name="_Toc103766761"/>
      <w:bookmarkStart w:id="216" w:name="_Toc244399777"/>
      <w:bookmarkStart w:id="217" w:name="_Toc244156631"/>
      <w:bookmarkStart w:id="218" w:name="_Toc244156684"/>
      <w:r>
        <w:rPr>
          <w:rFonts w:ascii="Times New Roman" w:hAnsi="宋体" w:eastAsia="宋体"/>
          <w:b/>
          <w:color w:val="auto"/>
          <w:sz w:val="24"/>
          <w:szCs w:val="24"/>
        </w:rPr>
        <w:t>9</w:t>
      </w:r>
      <w:r>
        <w:rPr>
          <w:rFonts w:hint="eastAsia" w:ascii="Times New Roman" w:hAnsi="宋体" w:eastAsia="宋体"/>
          <w:b/>
          <w:color w:val="auto"/>
          <w:sz w:val="24"/>
          <w:szCs w:val="24"/>
        </w:rPr>
        <w:t>　设计联络会及培训</w:t>
      </w:r>
      <w:bookmarkEnd w:id="211"/>
      <w:bookmarkEnd w:id="212"/>
      <w:bookmarkEnd w:id="213"/>
      <w:bookmarkEnd w:id="214"/>
      <w:bookmarkEnd w:id="215"/>
      <w:bookmarkEnd w:id="216"/>
      <w:bookmarkEnd w:id="217"/>
      <w:bookmarkEnd w:id="218"/>
    </w:p>
    <w:p>
      <w:pPr>
        <w:topLinePunct/>
        <w:adjustRightInd w:val="0"/>
        <w:snapToGrid w:val="0"/>
        <w:spacing w:line="360" w:lineRule="auto"/>
        <w:rPr>
          <w:sz w:val="24"/>
          <w:szCs w:val="24"/>
        </w:rPr>
      </w:pPr>
      <w:r>
        <w:rPr>
          <w:sz w:val="24"/>
          <w:szCs w:val="24"/>
        </w:rPr>
        <w:t>9.1</w:t>
      </w:r>
      <w:r>
        <w:rPr>
          <w:rFonts w:hint="eastAsia" w:hAnsi="宋体"/>
          <w:sz w:val="24"/>
          <w:szCs w:val="24"/>
        </w:rPr>
        <w:t>　设计联络会</w:t>
      </w:r>
    </w:p>
    <w:p>
      <w:pPr>
        <w:topLinePunct/>
        <w:adjustRightInd w:val="0"/>
        <w:snapToGrid w:val="0"/>
        <w:spacing w:line="360" w:lineRule="auto"/>
        <w:ind w:firstLine="480" w:firstLineChars="200"/>
        <w:rPr>
          <w:kern w:val="0"/>
          <w:sz w:val="24"/>
          <w:szCs w:val="24"/>
        </w:rPr>
      </w:pPr>
      <w:r>
        <w:rPr>
          <w:kern w:val="0"/>
          <w:sz w:val="24"/>
          <w:szCs w:val="24"/>
        </w:rPr>
        <w:t>a</w:t>
      </w:r>
      <w:r>
        <w:rPr>
          <w:rFonts w:hint="eastAsia" w:hAnsi="宋体"/>
          <w:kern w:val="0"/>
          <w:sz w:val="24"/>
          <w:szCs w:val="24"/>
        </w:rPr>
        <w:t>）</w:t>
      </w:r>
      <w:r>
        <w:rPr>
          <w:kern w:val="0"/>
          <w:sz w:val="24"/>
          <w:szCs w:val="24"/>
        </w:rPr>
        <w:tab/>
      </w:r>
      <w:r>
        <w:rPr>
          <w:rFonts w:hint="eastAsia" w:hAnsi="宋体"/>
          <w:kern w:val="0"/>
          <w:sz w:val="24"/>
          <w:szCs w:val="24"/>
        </w:rPr>
        <w:t>为了审查和确认卖方的系统设计方案和设备配置方案，协调有关的设计接口工作，卖方与买方应召开设计联络会。合同生效后</w:t>
      </w:r>
      <w:r>
        <w:rPr>
          <w:kern w:val="0"/>
          <w:sz w:val="24"/>
          <w:szCs w:val="24"/>
        </w:rPr>
        <w:t>1</w:t>
      </w:r>
      <w:r>
        <w:rPr>
          <w:rFonts w:hint="eastAsia" w:hAnsi="宋体"/>
          <w:kern w:val="0"/>
          <w:sz w:val="24"/>
          <w:szCs w:val="24"/>
        </w:rPr>
        <w:t>周内卖方应向买方人提交建议的设计联络会日程安排。</w:t>
      </w:r>
    </w:p>
    <w:p>
      <w:pPr>
        <w:topLinePunct/>
        <w:adjustRightInd w:val="0"/>
        <w:snapToGrid w:val="0"/>
        <w:spacing w:line="360" w:lineRule="auto"/>
        <w:ind w:firstLine="480" w:firstLineChars="200"/>
        <w:rPr>
          <w:kern w:val="0"/>
          <w:sz w:val="24"/>
          <w:szCs w:val="24"/>
        </w:rPr>
      </w:pPr>
      <w:r>
        <w:rPr>
          <w:kern w:val="0"/>
          <w:sz w:val="24"/>
          <w:szCs w:val="24"/>
        </w:rPr>
        <w:t>b</w:t>
      </w:r>
      <w:r>
        <w:rPr>
          <w:rFonts w:hint="eastAsia" w:hAnsi="宋体"/>
          <w:kern w:val="0"/>
          <w:sz w:val="24"/>
          <w:szCs w:val="24"/>
        </w:rPr>
        <w:t>）</w:t>
      </w:r>
      <w:r>
        <w:rPr>
          <w:kern w:val="0"/>
          <w:sz w:val="24"/>
          <w:szCs w:val="24"/>
        </w:rPr>
        <w:tab/>
      </w:r>
      <w:r>
        <w:rPr>
          <w:rFonts w:hint="eastAsia" w:hAnsi="宋体"/>
          <w:kern w:val="0"/>
          <w:sz w:val="24"/>
          <w:szCs w:val="24"/>
        </w:rPr>
        <w:t>设计联络会的具体时间、地点、会议内容将在合同谈判中由双方商定。</w:t>
      </w:r>
    </w:p>
    <w:p>
      <w:pPr>
        <w:topLinePunct/>
        <w:adjustRightInd w:val="0"/>
        <w:snapToGrid w:val="0"/>
        <w:spacing w:line="360" w:lineRule="auto"/>
        <w:ind w:firstLine="480" w:firstLineChars="200"/>
        <w:rPr>
          <w:kern w:val="0"/>
          <w:sz w:val="24"/>
          <w:szCs w:val="24"/>
        </w:rPr>
      </w:pPr>
      <w:r>
        <w:rPr>
          <w:kern w:val="0"/>
          <w:sz w:val="24"/>
          <w:szCs w:val="24"/>
        </w:rPr>
        <w:t>c</w:t>
      </w:r>
      <w:r>
        <w:rPr>
          <w:rFonts w:hint="eastAsia" w:hAnsi="宋体"/>
          <w:kern w:val="0"/>
          <w:sz w:val="24"/>
          <w:szCs w:val="24"/>
        </w:rPr>
        <w:t>）</w:t>
      </w:r>
      <w:r>
        <w:rPr>
          <w:kern w:val="0"/>
          <w:sz w:val="24"/>
          <w:szCs w:val="24"/>
        </w:rPr>
        <w:tab/>
      </w:r>
      <w:r>
        <w:rPr>
          <w:rFonts w:hint="eastAsia" w:hAnsi="宋体"/>
          <w:kern w:val="0"/>
          <w:sz w:val="24"/>
          <w:szCs w:val="24"/>
        </w:rPr>
        <w:t>除了合同规定的设计联络会外，在合同执行期间如遇重要事宜需双方研究和讨论，经双方同意可另召开联络会议解决。</w:t>
      </w:r>
    </w:p>
    <w:p>
      <w:pPr>
        <w:topLinePunct/>
        <w:adjustRightInd w:val="0"/>
        <w:snapToGrid w:val="0"/>
        <w:spacing w:line="360" w:lineRule="auto"/>
        <w:ind w:firstLine="480" w:firstLineChars="200"/>
        <w:rPr>
          <w:kern w:val="0"/>
          <w:sz w:val="24"/>
          <w:szCs w:val="24"/>
        </w:rPr>
      </w:pPr>
      <w:r>
        <w:rPr>
          <w:kern w:val="0"/>
          <w:sz w:val="24"/>
          <w:szCs w:val="24"/>
        </w:rPr>
        <w:t>d</w:t>
      </w:r>
      <w:r>
        <w:rPr>
          <w:rFonts w:hint="eastAsia" w:hAnsi="宋体"/>
          <w:kern w:val="0"/>
          <w:sz w:val="24"/>
          <w:szCs w:val="24"/>
        </w:rPr>
        <w:t>）</w:t>
      </w:r>
      <w:r>
        <w:rPr>
          <w:kern w:val="0"/>
          <w:sz w:val="24"/>
          <w:szCs w:val="24"/>
        </w:rPr>
        <w:tab/>
      </w:r>
      <w:r>
        <w:rPr>
          <w:rFonts w:hint="eastAsia" w:hAnsi="宋体"/>
          <w:kern w:val="0"/>
          <w:sz w:val="24"/>
          <w:szCs w:val="24"/>
        </w:rPr>
        <w:t>设计联络会双方均应签署会议纪要，该纪要应作为合同的组成部分。</w:t>
      </w:r>
    </w:p>
    <w:p>
      <w:pPr>
        <w:topLinePunct/>
        <w:adjustRightInd w:val="0"/>
        <w:snapToGrid w:val="0"/>
        <w:spacing w:line="360" w:lineRule="auto"/>
        <w:ind w:firstLine="480" w:firstLineChars="200"/>
        <w:rPr>
          <w:kern w:val="0"/>
          <w:sz w:val="24"/>
          <w:szCs w:val="24"/>
        </w:rPr>
      </w:pPr>
      <w:r>
        <w:rPr>
          <w:kern w:val="0"/>
          <w:sz w:val="24"/>
          <w:szCs w:val="24"/>
        </w:rPr>
        <w:t>e</w:t>
      </w:r>
      <w:r>
        <w:rPr>
          <w:rFonts w:hint="eastAsia" w:hAnsi="宋体"/>
          <w:kern w:val="0"/>
          <w:sz w:val="24"/>
          <w:szCs w:val="24"/>
        </w:rPr>
        <w:t>）</w:t>
      </w:r>
      <w:r>
        <w:rPr>
          <w:kern w:val="0"/>
          <w:sz w:val="24"/>
          <w:szCs w:val="24"/>
        </w:rPr>
        <w:tab/>
      </w:r>
      <w:r>
        <w:rPr>
          <w:rFonts w:hint="eastAsia" w:hAnsi="宋体"/>
          <w:kern w:val="0"/>
          <w:sz w:val="24"/>
          <w:szCs w:val="24"/>
        </w:rPr>
        <w:t>设计联络会的费用由卖方承担，并包含在投标报价中。</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9.2</w:t>
      </w:r>
      <w:r>
        <w:rPr>
          <w:rFonts w:hint="eastAsia" w:ascii="Times New Roman" w:hAnsi="宋体" w:eastAsia="宋体"/>
          <w:color w:val="auto"/>
          <w:sz w:val="24"/>
          <w:szCs w:val="24"/>
        </w:rPr>
        <w:t>　培训</w:t>
      </w:r>
    </w:p>
    <w:p>
      <w:pPr>
        <w:topLinePunct/>
        <w:adjustRightInd w:val="0"/>
        <w:snapToGrid w:val="0"/>
        <w:spacing w:line="360" w:lineRule="auto"/>
        <w:rPr>
          <w:sz w:val="24"/>
          <w:szCs w:val="24"/>
        </w:rPr>
      </w:pPr>
      <w:r>
        <w:rPr>
          <w:sz w:val="24"/>
          <w:szCs w:val="24"/>
        </w:rPr>
        <w:t>9.2.1</w:t>
      </w:r>
      <w:r>
        <w:rPr>
          <w:rFonts w:hint="eastAsia" w:hAnsi="宋体"/>
          <w:sz w:val="24"/>
          <w:szCs w:val="24"/>
        </w:rPr>
        <w:t>　卖方负责对买方工程师进行培训，通过培训，买方工程师应具备保证系统正常运行、进行一般的系统维护及进一步开发的能力。</w:t>
      </w:r>
    </w:p>
    <w:p>
      <w:pPr>
        <w:topLinePunct/>
        <w:adjustRightInd w:val="0"/>
        <w:snapToGrid w:val="0"/>
        <w:spacing w:line="360" w:lineRule="auto"/>
        <w:rPr>
          <w:sz w:val="24"/>
          <w:szCs w:val="24"/>
        </w:rPr>
      </w:pPr>
      <w:r>
        <w:rPr>
          <w:sz w:val="24"/>
          <w:szCs w:val="24"/>
        </w:rPr>
        <w:t>9.2.2</w:t>
      </w:r>
      <w:r>
        <w:rPr>
          <w:rFonts w:hint="eastAsia" w:hAnsi="宋体"/>
          <w:sz w:val="24"/>
          <w:szCs w:val="24"/>
        </w:rPr>
        <w:t>　卖方应向买方培训人员提供技术文件、图纸、参考资料等培训资料。并提供试验仪器、工具、安全保护用品及其他必需品和工作场地。</w:t>
      </w:r>
    </w:p>
    <w:p>
      <w:pPr>
        <w:topLinePunct/>
        <w:adjustRightInd w:val="0"/>
        <w:snapToGrid w:val="0"/>
        <w:spacing w:line="360" w:lineRule="auto"/>
        <w:rPr>
          <w:sz w:val="24"/>
          <w:szCs w:val="24"/>
        </w:rPr>
      </w:pPr>
      <w:r>
        <w:rPr>
          <w:sz w:val="24"/>
          <w:szCs w:val="24"/>
        </w:rPr>
        <w:t>9.2.3</w:t>
      </w:r>
      <w:r>
        <w:rPr>
          <w:rFonts w:hint="eastAsia" w:hAnsi="宋体"/>
          <w:sz w:val="24"/>
          <w:szCs w:val="24"/>
        </w:rPr>
        <w:t>　为了使培训者学到更多的内容，卖方应提出培训计划（包括培训地点、培训内容、培训方式、课程时间、培训人数等），并与买方在第一次设联会上商定。</w:t>
      </w:r>
    </w:p>
    <w:p>
      <w:pPr>
        <w:topLinePunct/>
        <w:adjustRightInd w:val="0"/>
        <w:snapToGrid w:val="0"/>
        <w:spacing w:line="360" w:lineRule="auto"/>
        <w:rPr>
          <w:rFonts w:hAnsi="宋体"/>
          <w:sz w:val="24"/>
          <w:szCs w:val="24"/>
        </w:rPr>
      </w:pPr>
      <w:r>
        <w:rPr>
          <w:sz w:val="24"/>
          <w:szCs w:val="24"/>
        </w:rPr>
        <w:t>9.2.4</w:t>
      </w:r>
      <w:r>
        <w:rPr>
          <w:rFonts w:hint="eastAsia" w:hAnsi="宋体"/>
          <w:sz w:val="24"/>
          <w:szCs w:val="24"/>
        </w:rPr>
        <w:t>　培训费用由卖方承担，并包含在投标报价中。</w:t>
      </w:r>
    </w:p>
    <w:p>
      <w:pPr>
        <w:topLinePunct/>
        <w:adjustRightInd w:val="0"/>
        <w:snapToGrid w:val="0"/>
        <w:spacing w:line="360" w:lineRule="auto"/>
        <w:rPr>
          <w:b/>
          <w:sz w:val="52"/>
        </w:rPr>
      </w:pPr>
      <w:r>
        <w:rPr>
          <w:rFonts w:hAnsi="宋体"/>
          <w:sz w:val="24"/>
          <w:szCs w:val="24"/>
        </w:rPr>
        <w:br w:type="page"/>
      </w:r>
      <w:r>
        <w:drawing>
          <wp:inline distT="0" distB="0" distL="114300" distR="114300">
            <wp:extent cx="3420745" cy="751840"/>
            <wp:effectExtent l="0" t="0" r="8255" b="10160"/>
            <wp:docPr id="2" name="图片 4" descr="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标志"/>
                    <pic:cNvPicPr>
                      <a:picLocks noChangeAspect="1"/>
                    </pic:cNvPicPr>
                  </pic:nvPicPr>
                  <pic:blipFill>
                    <a:blip r:embed="rId9"/>
                    <a:srcRect l="3616" t="6909" r="4263" b="7132"/>
                    <a:stretch>
                      <a:fillRect/>
                    </a:stretch>
                  </pic:blipFill>
                  <pic:spPr>
                    <a:xfrm>
                      <a:off x="0" y="0"/>
                      <a:ext cx="3420745" cy="751840"/>
                    </a:xfrm>
                    <a:prstGeom prst="rect">
                      <a:avLst/>
                    </a:prstGeom>
                    <a:noFill/>
                    <a:ln>
                      <a:noFill/>
                    </a:ln>
                  </pic:spPr>
                </pic:pic>
              </a:graphicData>
            </a:graphic>
          </wp:inline>
        </w:drawing>
      </w:r>
    </w:p>
    <w:p>
      <w:pPr>
        <w:spacing w:line="360" w:lineRule="auto"/>
        <w:rPr>
          <w:rFonts w:ascii="宋体" w:hAnsi="宋体"/>
          <w:b/>
          <w:sz w:val="52"/>
        </w:rPr>
      </w:pPr>
    </w:p>
    <w:p>
      <w:pPr>
        <w:spacing w:line="360" w:lineRule="auto"/>
        <w:rPr>
          <w:rFonts w:ascii="宋体" w:hAnsi="宋体"/>
          <w:b/>
          <w:sz w:val="52"/>
        </w:rPr>
      </w:pPr>
    </w:p>
    <w:p>
      <w:pPr>
        <w:spacing w:line="360" w:lineRule="auto"/>
        <w:rPr>
          <w:rFonts w:ascii="宋体" w:hAnsi="宋体"/>
          <w:b/>
          <w:sz w:val="52"/>
        </w:rPr>
      </w:pPr>
    </w:p>
    <w:p>
      <w:pPr>
        <w:spacing w:line="480" w:lineRule="auto"/>
        <w:jc w:val="center"/>
        <w:rPr>
          <w:rFonts w:ascii="宋体" w:hAnsi="宋体"/>
          <w:b/>
          <w:color w:val="000000"/>
          <w:sz w:val="48"/>
          <w:szCs w:val="48"/>
        </w:rPr>
      </w:pPr>
      <w:r>
        <w:rPr>
          <w:rFonts w:hint="eastAsia" w:ascii="宋体" w:hAnsi="宋体"/>
          <w:b/>
          <w:color w:val="000000"/>
          <w:sz w:val="48"/>
          <w:szCs w:val="48"/>
        </w:rPr>
        <w:t>内蒙古电力(集团)有限责任公司</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w:t>
      </w:r>
    </w:p>
    <w:p>
      <w:pPr>
        <w:spacing w:line="480" w:lineRule="auto"/>
        <w:jc w:val="center"/>
        <w:rPr>
          <w:rFonts w:ascii="宋体" w:hAnsi="宋体"/>
          <w:b/>
          <w:color w:val="000000"/>
          <w:sz w:val="48"/>
          <w:szCs w:val="48"/>
        </w:rPr>
      </w:pPr>
      <w:r>
        <w:rPr>
          <w:rFonts w:hint="eastAsia" w:ascii="宋体" w:hAnsi="宋体"/>
          <w:b/>
          <w:color w:val="000000"/>
          <w:sz w:val="48"/>
          <w:szCs w:val="48"/>
        </w:rPr>
        <w:t>2022年信息技改项目</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阿拉善供电公司阿右旗供电分公司信息机房双设备改造</w:t>
      </w:r>
    </w:p>
    <w:p>
      <w:pPr>
        <w:spacing w:line="480" w:lineRule="auto"/>
        <w:jc w:val="center"/>
        <w:rPr>
          <w:rFonts w:ascii="宋体" w:hAnsi="宋体"/>
          <w:b/>
          <w:color w:val="000000"/>
          <w:sz w:val="48"/>
          <w:szCs w:val="48"/>
        </w:rPr>
      </w:pPr>
      <w:r>
        <w:rPr>
          <w:rFonts w:hint="eastAsia" w:ascii="宋体" w:hAnsi="宋体"/>
          <w:b/>
          <w:color w:val="000000"/>
          <w:sz w:val="48"/>
          <w:szCs w:val="48"/>
        </w:rPr>
        <w:t>交换机专用技术规范</w:t>
      </w:r>
    </w:p>
    <w:p>
      <w:pPr>
        <w:adjustRightInd w:val="0"/>
        <w:snapToGrid w:val="0"/>
        <w:spacing w:line="360" w:lineRule="auto"/>
        <w:jc w:val="center"/>
        <w:rPr>
          <w:rFonts w:hAnsi="宋体"/>
          <w:b/>
          <w:sz w:val="42"/>
          <w:lang w:val="zh-CN"/>
        </w:rPr>
      </w:pPr>
    </w:p>
    <w:p>
      <w:pPr>
        <w:adjustRightInd w:val="0"/>
        <w:snapToGrid w:val="0"/>
        <w:spacing w:line="360" w:lineRule="auto"/>
        <w:jc w:val="center"/>
        <w:rPr>
          <w:rFonts w:hAnsi="宋体"/>
          <w:b/>
          <w:sz w:val="44"/>
          <w:lang w:val="zh-CN"/>
        </w:rPr>
      </w:pPr>
    </w:p>
    <w:p>
      <w:pPr>
        <w:spacing w:line="360" w:lineRule="auto"/>
        <w:ind w:firstLine="22" w:firstLineChars="5"/>
        <w:rPr>
          <w:b/>
          <w:sz w:val="44"/>
        </w:rPr>
      </w:pPr>
    </w:p>
    <w:p>
      <w:pPr>
        <w:ind w:firstLine="24" w:firstLineChars="5"/>
        <w:jc w:val="center"/>
        <w:rPr>
          <w:b/>
          <w:sz w:val="48"/>
        </w:rPr>
      </w:pPr>
    </w:p>
    <w:p>
      <w:pPr>
        <w:ind w:firstLine="22" w:firstLineChars="4"/>
        <w:jc w:val="center"/>
        <w:rPr>
          <w:rFonts w:eastAsia="方正小标宋简体"/>
          <w:spacing w:val="40"/>
          <w:sz w:val="48"/>
          <w:szCs w:val="48"/>
        </w:rPr>
      </w:pPr>
    </w:p>
    <w:p>
      <w:pPr>
        <w:spacing w:line="360" w:lineRule="auto"/>
        <w:ind w:firstLine="26" w:firstLineChars="5"/>
        <w:jc w:val="center"/>
        <w:rPr>
          <w:b/>
          <w:sz w:val="52"/>
        </w:rPr>
      </w:pPr>
    </w:p>
    <w:p>
      <w:pPr>
        <w:spacing w:line="360" w:lineRule="auto"/>
        <w:ind w:firstLine="18" w:firstLineChars="5"/>
        <w:jc w:val="center"/>
        <w:rPr>
          <w:rFonts w:hAnsi="宋体"/>
          <w:b/>
          <w:sz w:val="36"/>
          <w:szCs w:val="36"/>
        </w:rPr>
      </w:pPr>
      <w:r>
        <w:rPr>
          <w:rFonts w:hint="eastAsia" w:hAnsi="宋体"/>
          <w:b/>
          <w:sz w:val="36"/>
          <w:szCs w:val="36"/>
        </w:rPr>
        <w:t>内蒙古威信通电力通信工程设计有限公司</w:t>
      </w:r>
    </w:p>
    <w:p>
      <w:pPr>
        <w:spacing w:line="360" w:lineRule="auto"/>
        <w:ind w:firstLine="18" w:firstLineChars="5"/>
        <w:jc w:val="center"/>
        <w:rPr>
          <w:rFonts w:hAnsi="宋体"/>
          <w:b/>
          <w:sz w:val="36"/>
          <w:szCs w:val="36"/>
        </w:rPr>
      </w:pPr>
      <w:r>
        <w:rPr>
          <w:b/>
          <w:sz w:val="36"/>
          <w:szCs w:val="36"/>
        </w:rPr>
        <w:t>20</w:t>
      </w:r>
      <w:r>
        <w:rPr>
          <w:rFonts w:hint="eastAsia"/>
          <w:b/>
          <w:sz w:val="36"/>
          <w:szCs w:val="36"/>
        </w:rPr>
        <w:t>22</w:t>
      </w:r>
      <w:r>
        <w:rPr>
          <w:rFonts w:hint="eastAsia" w:hAnsi="宋体"/>
          <w:b/>
          <w:sz w:val="36"/>
          <w:szCs w:val="36"/>
        </w:rPr>
        <w:t>年</w:t>
      </w:r>
      <w:r>
        <w:rPr>
          <w:rFonts w:hint="eastAsia"/>
          <w:b/>
          <w:sz w:val="36"/>
          <w:szCs w:val="36"/>
        </w:rPr>
        <w:t>4</w:t>
      </w:r>
      <w:r>
        <w:rPr>
          <w:rFonts w:hint="eastAsia" w:hAnsi="宋体"/>
          <w:b/>
          <w:sz w:val="36"/>
          <w:szCs w:val="36"/>
        </w:rPr>
        <w:t>月</w:t>
      </w:r>
    </w:p>
    <w:p>
      <w:pPr>
        <w:spacing w:line="360" w:lineRule="auto"/>
        <w:ind w:firstLine="18" w:firstLineChars="5"/>
        <w:jc w:val="center"/>
        <w:rPr>
          <w:rFonts w:hAnsi="宋体"/>
          <w:b/>
          <w:sz w:val="36"/>
          <w:szCs w:val="36"/>
        </w:rPr>
        <w:sectPr>
          <w:footerReference r:id="rId4" w:type="default"/>
          <w:footerReference r:id="rId5" w:type="even"/>
          <w:pgSz w:w="11907" w:h="16840"/>
          <w:pgMar w:top="1474" w:right="1418" w:bottom="1418" w:left="1418" w:header="1021" w:footer="1021" w:gutter="0"/>
          <w:pgNumType w:start="1"/>
          <w:cols w:space="720" w:num="1"/>
          <w:docGrid w:type="linesAndChars" w:linePitch="312" w:charSpace="0"/>
        </w:sectPr>
      </w:pPr>
    </w:p>
    <w:p/>
    <w:p>
      <w:pPr>
        <w:jc w:val="center"/>
        <w:rPr>
          <w:rFonts w:ascii="宋体"/>
          <w:b/>
          <w:sz w:val="28"/>
          <w:szCs w:val="28"/>
        </w:rPr>
      </w:pPr>
      <w:r>
        <w:rPr>
          <w:rFonts w:hint="eastAsia" w:ascii="宋体"/>
          <w:b/>
          <w:sz w:val="28"/>
          <w:szCs w:val="28"/>
        </w:rPr>
        <w:t>目    录</w:t>
      </w:r>
    </w:p>
    <w:p>
      <w:pPr>
        <w:adjustRightInd w:val="0"/>
        <w:snapToGrid w:val="0"/>
        <w:spacing w:line="360" w:lineRule="auto"/>
        <w:jc w:val="center"/>
        <w:rPr>
          <w:rFonts w:ascii="宋体"/>
          <w:sz w:val="24"/>
          <w:szCs w:val="24"/>
        </w:rPr>
      </w:pPr>
    </w:p>
    <w:p>
      <w:pPr>
        <w:pStyle w:val="8"/>
        <w:tabs>
          <w:tab w:val="right" w:leader="dot" w:pos="9061"/>
        </w:tabs>
        <w:adjustRightInd w:val="0"/>
        <w:snapToGrid w:val="0"/>
        <w:spacing w:before="0" w:after="0" w:line="360" w:lineRule="auto"/>
        <w:rPr>
          <w:b w:val="0"/>
          <w:bCs w:val="0"/>
          <w:caps w:val="0"/>
          <w:sz w:val="24"/>
          <w:szCs w:val="24"/>
        </w:rPr>
      </w:pPr>
      <w:r>
        <w:rPr>
          <w:rFonts w:ascii="宋体" w:hAnsi="宋体"/>
          <w:b w:val="0"/>
          <w:sz w:val="24"/>
          <w:szCs w:val="24"/>
        </w:rPr>
        <w:fldChar w:fldCharType="begin"/>
      </w:r>
      <w:r>
        <w:rPr>
          <w:rFonts w:ascii="宋体" w:hAnsi="宋体"/>
          <w:b w:val="0"/>
          <w:sz w:val="24"/>
          <w:szCs w:val="24"/>
        </w:rPr>
        <w:instrText xml:space="preserve"> </w:instrText>
      </w:r>
      <w:r>
        <w:rPr>
          <w:rFonts w:hint="eastAsia" w:ascii="宋体" w:hAnsi="宋体"/>
          <w:b w:val="0"/>
          <w:sz w:val="24"/>
          <w:szCs w:val="24"/>
        </w:rPr>
        <w:instrText xml:space="preserve">TOC \o "1-1" \h \z \u</w:instrText>
      </w:r>
      <w:r>
        <w:rPr>
          <w:rFonts w:ascii="宋体" w:hAnsi="宋体"/>
          <w:b w:val="0"/>
          <w:sz w:val="24"/>
          <w:szCs w:val="24"/>
        </w:rPr>
        <w:instrText xml:space="preserve"> </w:instrText>
      </w:r>
      <w:r>
        <w:rPr>
          <w:rFonts w:ascii="宋体" w:hAnsi="宋体"/>
          <w:b w:val="0"/>
          <w:sz w:val="24"/>
          <w:szCs w:val="24"/>
        </w:rPr>
        <w:fldChar w:fldCharType="separate"/>
      </w:r>
      <w:r>
        <w:fldChar w:fldCharType="begin"/>
      </w:r>
      <w:r>
        <w:instrText xml:space="preserve"> HYPERLINK \l "_Toc345514942" </w:instrText>
      </w:r>
      <w:r>
        <w:fldChar w:fldCharType="separate"/>
      </w:r>
      <w:r>
        <w:rPr>
          <w:rStyle w:val="12"/>
          <w:b w:val="0"/>
          <w:snapToGrid w:val="0"/>
          <w:kern w:val="0"/>
          <w:sz w:val="24"/>
          <w:szCs w:val="24"/>
        </w:rPr>
        <w:t xml:space="preserve">1  </w:t>
      </w:r>
      <w:r>
        <w:rPr>
          <w:rStyle w:val="12"/>
          <w:rFonts w:hint="eastAsia" w:hAnsi="宋体"/>
          <w:b w:val="0"/>
          <w:snapToGrid w:val="0"/>
          <w:kern w:val="0"/>
          <w:sz w:val="24"/>
          <w:szCs w:val="24"/>
        </w:rPr>
        <w:t>标准技术参数</w:t>
      </w:r>
      <w:r>
        <w:rPr>
          <w:b w:val="0"/>
          <w:sz w:val="24"/>
          <w:szCs w:val="24"/>
        </w:rPr>
        <w:tab/>
      </w:r>
      <w:r>
        <w:rPr>
          <w:b w:val="0"/>
          <w:sz w:val="24"/>
          <w:szCs w:val="24"/>
        </w:rPr>
        <w:fldChar w:fldCharType="begin"/>
      </w:r>
      <w:r>
        <w:rPr>
          <w:b w:val="0"/>
          <w:sz w:val="24"/>
          <w:szCs w:val="24"/>
        </w:rPr>
        <w:instrText xml:space="preserve"> PAGEREF _Toc345514942 \h </w:instrText>
      </w:r>
      <w:r>
        <w:rPr>
          <w:b w:val="0"/>
          <w:sz w:val="24"/>
          <w:szCs w:val="24"/>
        </w:rPr>
        <w:fldChar w:fldCharType="separate"/>
      </w:r>
      <w:r>
        <w:rPr>
          <w:b w:val="0"/>
          <w:sz w:val="24"/>
          <w:szCs w:val="24"/>
        </w:rPr>
        <w:t>1</w:t>
      </w:r>
      <w:r>
        <w:rPr>
          <w:b w:val="0"/>
          <w:sz w:val="24"/>
          <w:szCs w:val="24"/>
        </w:rPr>
        <w:fldChar w:fldCharType="end"/>
      </w:r>
      <w:r>
        <w:rPr>
          <w:b w:val="0"/>
          <w:sz w:val="24"/>
          <w:szCs w:val="24"/>
        </w:rPr>
        <w:fldChar w:fldCharType="end"/>
      </w:r>
    </w:p>
    <w:p>
      <w:pPr>
        <w:pStyle w:val="8"/>
        <w:tabs>
          <w:tab w:val="right" w:leader="dot" w:pos="9061"/>
        </w:tabs>
        <w:adjustRightInd w:val="0"/>
        <w:snapToGrid w:val="0"/>
        <w:spacing w:before="0" w:after="0" w:line="360" w:lineRule="auto"/>
        <w:rPr>
          <w:b w:val="0"/>
          <w:bCs w:val="0"/>
          <w:caps w:val="0"/>
          <w:sz w:val="24"/>
          <w:szCs w:val="24"/>
        </w:rPr>
      </w:pPr>
      <w:r>
        <w:fldChar w:fldCharType="begin"/>
      </w:r>
      <w:r>
        <w:instrText xml:space="preserve"> HYPERLINK \l "_Toc345514943" </w:instrText>
      </w:r>
      <w:r>
        <w:fldChar w:fldCharType="separate"/>
      </w:r>
      <w:r>
        <w:rPr>
          <w:rStyle w:val="12"/>
          <w:b w:val="0"/>
          <w:snapToGrid w:val="0"/>
          <w:kern w:val="0"/>
          <w:sz w:val="24"/>
          <w:szCs w:val="24"/>
        </w:rPr>
        <w:t xml:space="preserve">2  </w:t>
      </w:r>
      <w:r>
        <w:rPr>
          <w:rStyle w:val="12"/>
          <w:rFonts w:hint="eastAsia" w:hAnsi="宋体"/>
          <w:b w:val="0"/>
          <w:snapToGrid w:val="0"/>
          <w:kern w:val="0"/>
          <w:sz w:val="24"/>
          <w:szCs w:val="24"/>
        </w:rPr>
        <w:t>项目需求部分</w:t>
      </w:r>
      <w:r>
        <w:rPr>
          <w:b w:val="0"/>
          <w:sz w:val="24"/>
          <w:szCs w:val="24"/>
        </w:rPr>
        <w:tab/>
      </w:r>
      <w:r>
        <w:rPr>
          <w:b w:val="0"/>
          <w:sz w:val="24"/>
          <w:szCs w:val="24"/>
        </w:rPr>
        <w:fldChar w:fldCharType="begin"/>
      </w:r>
      <w:r>
        <w:rPr>
          <w:b w:val="0"/>
          <w:sz w:val="24"/>
          <w:szCs w:val="24"/>
        </w:rPr>
        <w:instrText xml:space="preserve"> PAGEREF _Toc345514943 \h </w:instrText>
      </w:r>
      <w:r>
        <w:rPr>
          <w:b w:val="0"/>
          <w:sz w:val="24"/>
          <w:szCs w:val="24"/>
        </w:rPr>
        <w:fldChar w:fldCharType="separate"/>
      </w:r>
      <w:r>
        <w:rPr>
          <w:b w:val="0"/>
          <w:sz w:val="24"/>
          <w:szCs w:val="24"/>
        </w:rPr>
        <w:t>3</w:t>
      </w:r>
      <w:r>
        <w:rPr>
          <w:b w:val="0"/>
          <w:sz w:val="24"/>
          <w:szCs w:val="24"/>
        </w:rPr>
        <w:fldChar w:fldCharType="end"/>
      </w:r>
      <w:r>
        <w:rPr>
          <w:b w:val="0"/>
          <w:sz w:val="24"/>
          <w:szCs w:val="24"/>
        </w:rPr>
        <w:fldChar w:fldCharType="end"/>
      </w:r>
    </w:p>
    <w:p>
      <w:pPr>
        <w:pStyle w:val="8"/>
        <w:tabs>
          <w:tab w:val="right" w:leader="dot" w:pos="9061"/>
        </w:tabs>
        <w:adjustRightInd w:val="0"/>
        <w:snapToGrid w:val="0"/>
        <w:spacing w:before="0" w:after="0" w:line="360" w:lineRule="auto"/>
        <w:rPr>
          <w:b w:val="0"/>
          <w:bCs w:val="0"/>
          <w:caps w:val="0"/>
          <w:sz w:val="24"/>
          <w:szCs w:val="24"/>
        </w:rPr>
      </w:pPr>
      <w:r>
        <w:fldChar w:fldCharType="begin"/>
      </w:r>
      <w:r>
        <w:instrText xml:space="preserve"> HYPERLINK \l "_Toc345514950" </w:instrText>
      </w:r>
      <w:r>
        <w:fldChar w:fldCharType="separate"/>
      </w:r>
      <w:r>
        <w:rPr>
          <w:rStyle w:val="12"/>
          <w:b w:val="0"/>
          <w:snapToGrid w:val="0"/>
          <w:kern w:val="0"/>
          <w:sz w:val="24"/>
          <w:szCs w:val="24"/>
        </w:rPr>
        <w:t xml:space="preserve">3  </w:t>
      </w:r>
      <w:r>
        <w:rPr>
          <w:rStyle w:val="12"/>
          <w:rFonts w:hint="eastAsia" w:hAnsi="宋体"/>
          <w:b w:val="0"/>
          <w:snapToGrid w:val="0"/>
          <w:kern w:val="0"/>
          <w:sz w:val="24"/>
          <w:szCs w:val="24"/>
        </w:rPr>
        <w:t>投标人响应部分</w:t>
      </w:r>
      <w:r>
        <w:rPr>
          <w:b w:val="0"/>
          <w:sz w:val="24"/>
          <w:szCs w:val="24"/>
        </w:rPr>
        <w:tab/>
      </w:r>
      <w:r>
        <w:rPr>
          <w:b w:val="0"/>
          <w:sz w:val="24"/>
          <w:szCs w:val="24"/>
        </w:rPr>
        <w:fldChar w:fldCharType="begin"/>
      </w:r>
      <w:r>
        <w:rPr>
          <w:b w:val="0"/>
          <w:sz w:val="24"/>
          <w:szCs w:val="24"/>
        </w:rPr>
        <w:instrText xml:space="preserve"> PAGEREF _Toc345514950 \h </w:instrText>
      </w:r>
      <w:r>
        <w:rPr>
          <w:b w:val="0"/>
          <w:sz w:val="24"/>
          <w:szCs w:val="24"/>
        </w:rPr>
        <w:fldChar w:fldCharType="separate"/>
      </w:r>
      <w:r>
        <w:rPr>
          <w:b w:val="0"/>
          <w:sz w:val="24"/>
          <w:szCs w:val="24"/>
        </w:rPr>
        <w:t>5</w:t>
      </w:r>
      <w:r>
        <w:rPr>
          <w:b w:val="0"/>
          <w:sz w:val="24"/>
          <w:szCs w:val="24"/>
        </w:rPr>
        <w:fldChar w:fldCharType="end"/>
      </w:r>
      <w:r>
        <w:rPr>
          <w:b w:val="0"/>
          <w:sz w:val="24"/>
          <w:szCs w:val="24"/>
        </w:rPr>
        <w:fldChar w:fldCharType="end"/>
      </w:r>
    </w:p>
    <w:p>
      <w:pPr>
        <w:adjustRightInd w:val="0"/>
        <w:snapToGrid w:val="0"/>
        <w:spacing w:line="360" w:lineRule="auto"/>
        <w:jc w:val="center"/>
        <w:rPr>
          <w:rFonts w:ascii="宋体" w:hAnsi="宋体"/>
          <w:szCs w:val="21"/>
        </w:rPr>
      </w:pPr>
      <w:r>
        <w:rPr>
          <w:rFonts w:ascii="宋体" w:hAnsi="宋体"/>
          <w:sz w:val="24"/>
          <w:szCs w:val="24"/>
        </w:rPr>
        <w:fldChar w:fldCharType="end"/>
      </w:r>
    </w:p>
    <w:p>
      <w:pPr>
        <w:pStyle w:val="8"/>
        <w:tabs>
          <w:tab w:val="right" w:leader="dot" w:pos="9175"/>
        </w:tabs>
        <w:spacing w:before="0" w:after="0"/>
        <w:rPr>
          <w:rStyle w:val="12"/>
          <w:color w:val="auto"/>
          <w:kern w:val="44"/>
          <w:u w:val="none"/>
        </w:rPr>
      </w:pPr>
      <w:r>
        <w:rPr>
          <w:rStyle w:val="12"/>
          <w:rFonts w:hint="eastAsia"/>
          <w:color w:val="auto"/>
          <w:kern w:val="44"/>
          <w:u w:val="none"/>
        </w:rPr>
        <w:t xml:space="preserve"> </w:t>
      </w:r>
    </w:p>
    <w:p>
      <w:pPr>
        <w:rPr>
          <w:rStyle w:val="12"/>
          <w:color w:val="auto"/>
          <w:kern w:val="44"/>
          <w:u w:val="none"/>
        </w:rPr>
        <w:sectPr>
          <w:pgSz w:w="11907" w:h="16840"/>
          <w:pgMar w:top="1474" w:right="1418" w:bottom="1418" w:left="1418" w:header="1021" w:footer="1021" w:gutter="0"/>
          <w:pgNumType w:start="1"/>
          <w:cols w:space="720" w:num="1"/>
          <w:docGrid w:type="linesAndChars" w:linePitch="312" w:charSpace="0"/>
        </w:sectPr>
      </w:pPr>
    </w:p>
    <w:p>
      <w:pPr>
        <w:pStyle w:val="2"/>
        <w:adjustRightInd w:val="0"/>
        <w:snapToGrid w:val="0"/>
        <w:spacing w:before="0" w:after="0" w:line="360" w:lineRule="auto"/>
        <w:rPr>
          <w:bCs/>
          <w:snapToGrid w:val="0"/>
          <w:kern w:val="0"/>
          <w:sz w:val="24"/>
          <w:szCs w:val="24"/>
        </w:rPr>
      </w:pPr>
      <w:bookmarkStart w:id="219" w:name="_Toc241652035"/>
      <w:bookmarkStart w:id="220" w:name="_Toc247536311"/>
      <w:bookmarkStart w:id="221" w:name="_Toc345514942"/>
      <w:bookmarkStart w:id="222" w:name="_Toc103766762"/>
      <w:bookmarkStart w:id="223" w:name="_Toc252539436"/>
      <w:r>
        <w:rPr>
          <w:bCs/>
          <w:snapToGrid w:val="0"/>
          <w:kern w:val="0"/>
          <w:sz w:val="24"/>
          <w:szCs w:val="24"/>
        </w:rPr>
        <w:t xml:space="preserve">1  </w:t>
      </w:r>
      <w:r>
        <w:rPr>
          <w:rFonts w:hAnsi="宋体"/>
          <w:bCs/>
          <w:snapToGrid w:val="0"/>
          <w:kern w:val="0"/>
          <w:sz w:val="24"/>
          <w:szCs w:val="24"/>
        </w:rPr>
        <w:t>标准技术参数</w:t>
      </w:r>
      <w:bookmarkEnd w:id="219"/>
      <w:bookmarkEnd w:id="220"/>
      <w:bookmarkEnd w:id="221"/>
      <w:bookmarkEnd w:id="222"/>
      <w:bookmarkEnd w:id="223"/>
    </w:p>
    <w:p>
      <w:pPr>
        <w:pStyle w:val="4"/>
        <w:adjustRightInd w:val="0"/>
        <w:snapToGrid w:val="0"/>
        <w:spacing w:line="360" w:lineRule="auto"/>
        <w:ind w:firstLine="480" w:firstLineChars="200"/>
        <w:rPr>
          <w:sz w:val="24"/>
          <w:szCs w:val="24"/>
        </w:rPr>
      </w:pPr>
      <w:r>
        <w:rPr>
          <w:rFonts w:hAnsi="宋体"/>
          <w:sz w:val="24"/>
          <w:szCs w:val="24"/>
        </w:rPr>
        <w:t>投标人应认真逐项填写标准技术参数表（见表</w:t>
      </w:r>
      <w:r>
        <w:rPr>
          <w:sz w:val="24"/>
          <w:szCs w:val="24"/>
        </w:rPr>
        <w:t>1</w:t>
      </w:r>
      <w:r>
        <w:rPr>
          <w:rFonts w:hAnsi="宋体"/>
          <w:sz w:val="24"/>
          <w:szCs w:val="24"/>
        </w:rPr>
        <w:t>、表</w:t>
      </w:r>
      <w:r>
        <w:rPr>
          <w:sz w:val="24"/>
          <w:szCs w:val="24"/>
        </w:rPr>
        <w:t>2</w:t>
      </w:r>
      <w:r>
        <w:rPr>
          <w:rFonts w:hAnsi="宋体"/>
          <w:sz w:val="24"/>
          <w:szCs w:val="24"/>
        </w:rPr>
        <w:t>、表</w:t>
      </w:r>
      <w:r>
        <w:rPr>
          <w:sz w:val="24"/>
          <w:szCs w:val="24"/>
        </w:rPr>
        <w:t>3</w:t>
      </w:r>
      <w:r>
        <w:rPr>
          <w:rFonts w:hAnsi="宋体"/>
          <w:sz w:val="24"/>
          <w:szCs w:val="24"/>
        </w:rPr>
        <w:t>）中投标人保证值，不能空格，也不能以</w:t>
      </w:r>
      <w:r>
        <w:rPr>
          <w:sz w:val="24"/>
          <w:szCs w:val="24"/>
        </w:rPr>
        <w:t>“</w:t>
      </w:r>
      <w:r>
        <w:rPr>
          <w:rFonts w:hAnsi="宋体"/>
          <w:sz w:val="24"/>
          <w:szCs w:val="24"/>
        </w:rPr>
        <w:t>响应</w:t>
      </w:r>
      <w:r>
        <w:rPr>
          <w:sz w:val="24"/>
          <w:szCs w:val="24"/>
        </w:rPr>
        <w:t>”</w:t>
      </w:r>
      <w:r>
        <w:rPr>
          <w:rFonts w:hAnsi="宋体"/>
          <w:sz w:val="24"/>
          <w:szCs w:val="24"/>
        </w:rPr>
        <w:t>两字代替，不允许改动招标人要求值。如有差异，</w:t>
      </w:r>
      <w:r>
        <w:rPr>
          <w:rFonts w:hAnsi="宋体"/>
          <w:color w:val="000000"/>
          <w:sz w:val="24"/>
          <w:szCs w:val="24"/>
        </w:rPr>
        <w:t>请填写表</w:t>
      </w:r>
      <w:r>
        <w:rPr>
          <w:color w:val="000000"/>
          <w:sz w:val="24"/>
          <w:szCs w:val="24"/>
        </w:rPr>
        <w:t>9</w:t>
      </w:r>
      <w:r>
        <w:rPr>
          <w:rFonts w:hAnsi="宋体"/>
          <w:color w:val="000000"/>
          <w:sz w:val="24"/>
          <w:szCs w:val="24"/>
        </w:rPr>
        <w:t>投标人技术偏差表。</w:t>
      </w:r>
    </w:p>
    <w:p>
      <w:pPr>
        <w:pStyle w:val="15"/>
        <w:adjustRightInd w:val="0"/>
        <w:snapToGrid w:val="0"/>
        <w:spacing w:before="0" w:after="0" w:line="360" w:lineRule="auto"/>
        <w:ind w:firstLine="480" w:firstLineChars="200"/>
        <w:rPr>
          <w:rFonts w:ascii="Times New Roman" w:eastAsia="宋体"/>
          <w:sz w:val="24"/>
          <w:szCs w:val="24"/>
        </w:rPr>
      </w:pPr>
      <w:r>
        <w:rPr>
          <w:rFonts w:ascii="Times New Roman" w:hAnsi="宋体" w:eastAsia="宋体"/>
          <w:sz w:val="24"/>
          <w:szCs w:val="24"/>
        </w:rPr>
        <w:t>表</w:t>
      </w:r>
      <w:r>
        <w:rPr>
          <w:rFonts w:ascii="Times New Roman" w:eastAsia="宋体"/>
          <w:sz w:val="24"/>
          <w:szCs w:val="24"/>
        </w:rPr>
        <w:t>1</w:t>
      </w:r>
      <w:r>
        <w:rPr>
          <w:rFonts w:ascii="Times New Roman" w:hAnsi="宋体" w:eastAsia="宋体"/>
          <w:sz w:val="24"/>
          <w:szCs w:val="24"/>
        </w:rPr>
        <w:t>　</w:t>
      </w:r>
      <w:r>
        <w:rPr>
          <w:rFonts w:hint="eastAsia" w:ascii="Times New Roman" w:hAnsi="宋体" w:eastAsia="宋体"/>
          <w:sz w:val="24"/>
          <w:szCs w:val="24"/>
        </w:rPr>
        <w:t xml:space="preserve">      </w:t>
      </w:r>
      <w:r>
        <w:rPr>
          <w:rFonts w:hint="eastAsia" w:ascii="Times New Roman" w:eastAsia="宋体"/>
          <w:sz w:val="24"/>
          <w:szCs w:val="24"/>
        </w:rPr>
        <w:t xml:space="preserve">   技术参数表</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572"/>
        <w:gridCol w:w="5652"/>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408" w:type="pct"/>
            <w:shd w:val="clear" w:color="auto" w:fill="auto"/>
            <w:vAlign w:val="center"/>
          </w:tcPr>
          <w:p>
            <w:pPr>
              <w:widowControl/>
              <w:jc w:val="center"/>
              <w:rPr>
                <w:rFonts w:cs="宋体"/>
                <w:b/>
                <w:bCs/>
                <w:color w:val="000000"/>
                <w:kern w:val="0"/>
                <w:sz w:val="20"/>
              </w:rPr>
            </w:pPr>
            <w:r>
              <w:rPr>
                <w:rFonts w:hint="eastAsia" w:cs="宋体"/>
                <w:b/>
                <w:bCs/>
                <w:color w:val="000000"/>
                <w:kern w:val="0"/>
                <w:sz w:val="20"/>
              </w:rPr>
              <w:t>序号</w:t>
            </w:r>
          </w:p>
        </w:tc>
        <w:tc>
          <w:tcPr>
            <w:tcW w:w="847" w:type="pct"/>
            <w:shd w:val="clear" w:color="auto" w:fill="auto"/>
            <w:vAlign w:val="center"/>
          </w:tcPr>
          <w:p>
            <w:pPr>
              <w:widowControl/>
              <w:jc w:val="center"/>
              <w:rPr>
                <w:rFonts w:cs="宋体"/>
                <w:b/>
                <w:bCs/>
                <w:color w:val="000000"/>
                <w:kern w:val="0"/>
                <w:sz w:val="20"/>
              </w:rPr>
            </w:pPr>
            <w:r>
              <w:rPr>
                <w:rFonts w:hint="eastAsia" w:cs="宋体"/>
                <w:b/>
                <w:bCs/>
                <w:color w:val="000000"/>
                <w:kern w:val="0"/>
                <w:sz w:val="20"/>
              </w:rPr>
              <w:t>设备名称</w:t>
            </w:r>
          </w:p>
        </w:tc>
        <w:tc>
          <w:tcPr>
            <w:tcW w:w="3045" w:type="pct"/>
            <w:shd w:val="clear" w:color="auto" w:fill="auto"/>
            <w:vAlign w:val="center"/>
          </w:tcPr>
          <w:p>
            <w:pPr>
              <w:widowControl/>
              <w:jc w:val="center"/>
              <w:rPr>
                <w:rFonts w:cs="宋体"/>
                <w:b/>
                <w:bCs/>
                <w:color w:val="000000"/>
                <w:kern w:val="0"/>
                <w:sz w:val="20"/>
              </w:rPr>
            </w:pPr>
            <w:r>
              <w:rPr>
                <w:rFonts w:hint="eastAsia" w:ascii="仿宋" w:hAnsi="仿宋" w:eastAsia="仿宋"/>
                <w:szCs w:val="21"/>
              </w:rPr>
              <w:t>技术指标</w:t>
            </w:r>
          </w:p>
        </w:tc>
        <w:tc>
          <w:tcPr>
            <w:tcW w:w="700" w:type="pct"/>
            <w:shd w:val="clear" w:color="auto" w:fill="auto"/>
            <w:vAlign w:val="center"/>
          </w:tcPr>
          <w:p>
            <w:pPr>
              <w:widowControl/>
              <w:jc w:val="center"/>
              <w:rPr>
                <w:rFonts w:cs="宋体"/>
                <w:b/>
                <w:bCs/>
                <w:color w:val="000000"/>
                <w:kern w:val="0"/>
                <w:sz w:val="20"/>
              </w:rPr>
            </w:pPr>
            <w:r>
              <w:rPr>
                <w:rFonts w:ascii="仿宋" w:hAnsi="仿宋" w:eastAsia="仿宋"/>
                <w:szCs w:val="21"/>
              </w:rPr>
              <w:t>投标人保证值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trPr>
        <w:tc>
          <w:tcPr>
            <w:tcW w:w="408" w:type="pct"/>
            <w:shd w:val="clear" w:color="auto" w:fill="auto"/>
            <w:vAlign w:val="center"/>
          </w:tcPr>
          <w:p>
            <w:pPr>
              <w:widowControl/>
              <w:jc w:val="center"/>
              <w:rPr>
                <w:rFonts w:cs="宋体"/>
                <w:color w:val="000000"/>
                <w:kern w:val="0"/>
                <w:sz w:val="20"/>
              </w:rPr>
            </w:pPr>
            <w:r>
              <w:rPr>
                <w:rFonts w:hint="eastAsia" w:cs="宋体"/>
                <w:color w:val="000000"/>
                <w:kern w:val="0"/>
                <w:sz w:val="20"/>
              </w:rPr>
              <w:t>1</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核心交换机</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300W AC 电源模块2块</w:t>
            </w:r>
          </w:p>
          <w:p>
            <w:pPr>
              <w:widowControl/>
              <w:jc w:val="left"/>
              <w:rPr>
                <w:rFonts w:cs="宋体"/>
                <w:color w:val="000000"/>
                <w:kern w:val="0"/>
                <w:sz w:val="20"/>
              </w:rPr>
            </w:pPr>
            <w:r>
              <w:rPr>
                <w:rFonts w:hint="eastAsia" w:cs="宋体"/>
                <w:color w:val="000000"/>
                <w:kern w:val="0"/>
                <w:sz w:val="20"/>
              </w:rPr>
              <w:t>*配置要求 本期实配千兆光口≥24，千兆电口≥24，万兆光口≥8</w:t>
            </w:r>
          </w:p>
          <w:p>
            <w:pPr>
              <w:widowControl/>
              <w:jc w:val="left"/>
              <w:rPr>
                <w:rFonts w:cs="宋体"/>
                <w:color w:val="000000"/>
                <w:kern w:val="0"/>
                <w:sz w:val="20"/>
              </w:rPr>
            </w:pPr>
            <w:r>
              <w:rPr>
                <w:rFonts w:hint="eastAsia" w:cs="宋体"/>
                <w:color w:val="000000"/>
                <w:kern w:val="0"/>
                <w:sz w:val="20"/>
              </w:rPr>
              <w:t>单槽位能够同时提供千兆光口、千兆电口、万兆光口，提高槽位利用率和业务可靠性</w:t>
            </w:r>
          </w:p>
          <w:p>
            <w:pPr>
              <w:widowControl/>
              <w:jc w:val="left"/>
              <w:rPr>
                <w:rFonts w:cs="宋体"/>
                <w:color w:val="000000"/>
                <w:kern w:val="0"/>
                <w:sz w:val="20"/>
              </w:rPr>
            </w:pPr>
            <w:r>
              <w:rPr>
                <w:rFonts w:hint="eastAsia" w:cs="宋体"/>
                <w:color w:val="000000"/>
                <w:kern w:val="0"/>
                <w:sz w:val="20"/>
              </w:rPr>
              <w:t>实配虚拟化以及所需附件</w:t>
            </w:r>
          </w:p>
          <w:p>
            <w:pPr>
              <w:widowControl/>
              <w:jc w:val="left"/>
              <w:rPr>
                <w:rFonts w:hint="eastAsia" w:cs="宋体"/>
                <w:color w:val="000000"/>
                <w:kern w:val="0"/>
                <w:sz w:val="20"/>
              </w:rPr>
            </w:pPr>
            <w:r>
              <w:rPr>
                <w:rFonts w:hint="eastAsia" w:cs="宋体"/>
                <w:color w:val="000000"/>
                <w:kern w:val="0"/>
                <w:sz w:val="20"/>
              </w:rPr>
              <w:t>*链路聚合 聚合组数≥1024组，每组成员≥32个， 支持DRNI跨设备链路聚合</w:t>
            </w:r>
          </w:p>
          <w:p>
            <w:pPr>
              <w:widowControl/>
              <w:jc w:val="left"/>
              <w:rPr>
                <w:rFonts w:cs="宋体"/>
                <w:color w:val="000000"/>
                <w:kern w:val="0"/>
                <w:sz w:val="20"/>
              </w:rPr>
            </w:pPr>
            <w:r>
              <w:rPr>
                <w:rFonts w:hint="eastAsia" w:cs="宋体"/>
                <w:color w:val="000000"/>
                <w:kern w:val="0"/>
                <w:sz w:val="20"/>
              </w:rPr>
              <w:t>ACL 支持双向ACL</w:t>
            </w:r>
          </w:p>
          <w:p>
            <w:pPr>
              <w:widowControl/>
              <w:jc w:val="left"/>
              <w:rPr>
                <w:rFonts w:cs="宋体"/>
                <w:color w:val="000000"/>
                <w:kern w:val="0"/>
                <w:sz w:val="20"/>
              </w:rPr>
            </w:pPr>
            <w:r>
              <w:rPr>
                <w:rFonts w:hint="eastAsia" w:cs="宋体"/>
                <w:color w:val="000000"/>
                <w:kern w:val="0"/>
                <w:sz w:val="20"/>
              </w:rPr>
              <w:t>ACL≥4K</w:t>
            </w:r>
          </w:p>
          <w:p>
            <w:pPr>
              <w:widowControl/>
              <w:jc w:val="left"/>
              <w:rPr>
                <w:rFonts w:cs="宋体"/>
                <w:color w:val="000000"/>
                <w:kern w:val="0"/>
                <w:sz w:val="20"/>
              </w:rPr>
            </w:pPr>
            <w:r>
              <w:rPr>
                <w:rFonts w:hint="eastAsia" w:cs="宋体"/>
                <w:color w:val="000000"/>
                <w:kern w:val="0"/>
                <w:sz w:val="20"/>
              </w:rPr>
              <w:t xml:space="preserve"> 支持端口ACL</w:t>
            </w:r>
          </w:p>
          <w:p>
            <w:pPr>
              <w:widowControl/>
              <w:jc w:val="left"/>
              <w:rPr>
                <w:rFonts w:cs="宋体"/>
                <w:color w:val="000000"/>
                <w:kern w:val="0"/>
                <w:sz w:val="20"/>
              </w:rPr>
            </w:pPr>
            <w:r>
              <w:rPr>
                <w:rFonts w:hint="eastAsia" w:cs="宋体"/>
                <w:color w:val="000000"/>
                <w:kern w:val="0"/>
                <w:sz w:val="20"/>
              </w:rPr>
              <w:t xml:space="preserve"> 支持VLAN ACL</w:t>
            </w:r>
          </w:p>
          <w:p>
            <w:pPr>
              <w:widowControl/>
              <w:jc w:val="left"/>
              <w:rPr>
                <w:rFonts w:cs="宋体"/>
                <w:color w:val="000000"/>
                <w:kern w:val="0"/>
                <w:sz w:val="20"/>
              </w:rPr>
            </w:pPr>
            <w:r>
              <w:rPr>
                <w:rFonts w:hint="eastAsia" w:cs="宋体"/>
                <w:color w:val="000000"/>
                <w:kern w:val="0"/>
                <w:sz w:val="20"/>
              </w:rPr>
              <w:t>QOS 每端口支持8个优先级队列，3个丢弃优先级，支持SP、WRR、SP+WRR三种队列调度算法</w:t>
            </w:r>
          </w:p>
          <w:p>
            <w:pPr>
              <w:widowControl/>
              <w:jc w:val="left"/>
              <w:rPr>
                <w:rFonts w:cs="宋体"/>
                <w:color w:val="000000"/>
                <w:kern w:val="0"/>
                <w:sz w:val="20"/>
              </w:rPr>
            </w:pPr>
            <w:r>
              <w:rPr>
                <w:rFonts w:hint="eastAsia" w:cs="宋体"/>
                <w:color w:val="000000"/>
                <w:kern w:val="0"/>
                <w:sz w:val="20"/>
              </w:rPr>
              <w:t xml:space="preserve"> 支持精细化的流量监管，粒度可达8K</w:t>
            </w:r>
          </w:p>
          <w:p>
            <w:pPr>
              <w:widowControl/>
              <w:jc w:val="left"/>
              <w:rPr>
                <w:rFonts w:cs="宋体"/>
                <w:color w:val="000000"/>
                <w:kern w:val="0"/>
                <w:sz w:val="20"/>
              </w:rPr>
            </w:pPr>
            <w:r>
              <w:rPr>
                <w:rFonts w:hint="eastAsia" w:cs="宋体"/>
                <w:color w:val="000000"/>
                <w:kern w:val="0"/>
                <w:sz w:val="20"/>
              </w:rPr>
              <w:t xml:space="preserve"> 支持流量整形Shapping</w:t>
            </w:r>
          </w:p>
          <w:p>
            <w:pPr>
              <w:widowControl/>
              <w:jc w:val="left"/>
              <w:rPr>
                <w:rFonts w:cs="宋体"/>
                <w:color w:val="000000"/>
                <w:kern w:val="0"/>
                <w:sz w:val="20"/>
              </w:rPr>
            </w:pPr>
            <w:r>
              <w:rPr>
                <w:rFonts w:hint="eastAsia" w:cs="宋体"/>
                <w:color w:val="000000"/>
                <w:kern w:val="0"/>
                <w:sz w:val="20"/>
              </w:rPr>
              <w:t xml:space="preserve"> 支持WRED拥塞避免</w:t>
            </w:r>
          </w:p>
          <w:p>
            <w:pPr>
              <w:widowControl/>
              <w:jc w:val="left"/>
              <w:rPr>
                <w:rFonts w:cs="宋体"/>
                <w:color w:val="000000"/>
                <w:kern w:val="0"/>
                <w:sz w:val="20"/>
              </w:rPr>
            </w:pPr>
            <w:r>
              <w:rPr>
                <w:rFonts w:hint="eastAsia" w:cs="宋体"/>
                <w:color w:val="000000"/>
                <w:kern w:val="0"/>
                <w:sz w:val="20"/>
              </w:rPr>
              <w:t xml:space="preserve"> 支持802.1p、TOS、DSCP、EXP优先级映射</w:t>
            </w:r>
          </w:p>
          <w:p>
            <w:pPr>
              <w:widowControl/>
              <w:jc w:val="left"/>
              <w:rPr>
                <w:rFonts w:hint="eastAsia" w:cs="宋体"/>
                <w:color w:val="000000"/>
                <w:kern w:val="0"/>
                <w:sz w:val="20"/>
              </w:rPr>
            </w:pPr>
            <w:r>
              <w:rPr>
                <w:rFonts w:hint="eastAsia" w:cs="宋体"/>
                <w:color w:val="000000"/>
                <w:kern w:val="0"/>
                <w:sz w:val="20"/>
              </w:rPr>
              <w:t>*可靠性 支持主控板冗余，倒换时间为0ms</w:t>
            </w:r>
          </w:p>
          <w:p>
            <w:pPr>
              <w:widowControl/>
              <w:jc w:val="left"/>
              <w:rPr>
                <w:rFonts w:cs="宋体"/>
                <w:color w:val="000000"/>
                <w:kern w:val="0"/>
                <w:sz w:val="20"/>
              </w:rPr>
            </w:pPr>
            <w:r>
              <w:rPr>
                <w:rFonts w:hint="eastAsia" w:cs="宋体"/>
                <w:color w:val="000000"/>
                <w:kern w:val="0"/>
                <w:sz w:val="20"/>
              </w:rPr>
              <w:t xml:space="preserve"> 支持NSF/GR for OSFP/BGP/IS-IS</w:t>
            </w:r>
          </w:p>
          <w:p>
            <w:pPr>
              <w:widowControl/>
              <w:jc w:val="left"/>
              <w:rPr>
                <w:rFonts w:cs="宋体"/>
                <w:color w:val="000000"/>
                <w:kern w:val="0"/>
                <w:sz w:val="20"/>
              </w:rPr>
            </w:pPr>
            <w:r>
              <w:rPr>
                <w:rFonts w:hint="eastAsia" w:cs="宋体"/>
                <w:color w:val="000000"/>
                <w:kern w:val="0"/>
                <w:sz w:val="20"/>
              </w:rPr>
              <w:t xml:space="preserve"> 支持热补丁功能，可在线进行补丁升级</w:t>
            </w:r>
          </w:p>
          <w:p>
            <w:pPr>
              <w:widowControl/>
              <w:jc w:val="left"/>
              <w:rPr>
                <w:rFonts w:cs="宋体"/>
                <w:color w:val="000000"/>
                <w:kern w:val="0"/>
                <w:sz w:val="20"/>
              </w:rPr>
            </w:pPr>
            <w:r>
              <w:rPr>
                <w:rFonts w:hint="eastAsia" w:cs="宋体"/>
                <w:color w:val="000000"/>
                <w:kern w:val="0"/>
                <w:sz w:val="20"/>
              </w:rPr>
              <w:t xml:space="preserve"> 支持BFD，BFD for VRRP/BGP/IS-IS/OSPF/RSVP/LDP/RIP/静态路由。</w:t>
            </w:r>
          </w:p>
          <w:p>
            <w:pPr>
              <w:widowControl/>
              <w:jc w:val="left"/>
              <w:rPr>
                <w:rFonts w:cs="宋体"/>
                <w:color w:val="000000"/>
                <w:kern w:val="0"/>
                <w:sz w:val="20"/>
              </w:rPr>
            </w:pPr>
            <w:r>
              <w:rPr>
                <w:rFonts w:hint="eastAsia" w:cs="宋体"/>
                <w:color w:val="000000"/>
                <w:kern w:val="0"/>
                <w:sz w:val="20"/>
              </w:rPr>
              <w:t>BFD收敛时间&lt;50ms</w:t>
            </w:r>
          </w:p>
          <w:p>
            <w:pPr>
              <w:widowControl/>
              <w:jc w:val="left"/>
              <w:rPr>
                <w:rFonts w:cs="宋体"/>
                <w:color w:val="000000"/>
                <w:kern w:val="0"/>
                <w:sz w:val="20"/>
              </w:rPr>
            </w:pPr>
            <w:r>
              <w:rPr>
                <w:rFonts w:hint="eastAsia" w:cs="宋体"/>
                <w:color w:val="000000"/>
                <w:kern w:val="0"/>
                <w:sz w:val="20"/>
              </w:rPr>
              <w:t xml:space="preserve"> 支持IP FRR，满足网络收敛&lt;50ms</w:t>
            </w:r>
          </w:p>
          <w:p>
            <w:pPr>
              <w:widowControl/>
              <w:jc w:val="left"/>
              <w:rPr>
                <w:rFonts w:cs="宋体"/>
                <w:color w:val="000000"/>
                <w:kern w:val="0"/>
                <w:sz w:val="20"/>
              </w:rPr>
            </w:pPr>
            <w:r>
              <w:rPr>
                <w:rFonts w:hint="eastAsia" w:cs="宋体"/>
                <w:color w:val="000000"/>
                <w:kern w:val="0"/>
                <w:sz w:val="20"/>
              </w:rPr>
              <w:t>MAC MAC表≥288K</w:t>
            </w:r>
          </w:p>
          <w:p>
            <w:pPr>
              <w:widowControl/>
              <w:jc w:val="left"/>
              <w:rPr>
                <w:rFonts w:cs="宋体"/>
                <w:color w:val="FF0000"/>
                <w:kern w:val="0"/>
                <w:sz w:val="20"/>
              </w:rPr>
            </w:pPr>
            <w:r>
              <w:rPr>
                <w:rFonts w:hint="eastAsia" w:cs="宋体"/>
                <w:color w:val="000000"/>
                <w:kern w:val="0"/>
                <w:sz w:val="20"/>
              </w:rPr>
              <w:t xml:space="preserve"> MAC表≥1M，学习速率≥130K/S</w:t>
            </w:r>
          </w:p>
          <w:p>
            <w:pPr>
              <w:widowControl/>
              <w:jc w:val="left"/>
              <w:rPr>
                <w:rFonts w:cs="宋体"/>
                <w:color w:val="000000"/>
                <w:kern w:val="0"/>
                <w:sz w:val="20"/>
              </w:rPr>
            </w:pPr>
            <w:r>
              <w:rPr>
                <w:rFonts w:hint="eastAsia" w:cs="宋体"/>
                <w:color w:val="000000"/>
                <w:kern w:val="0"/>
                <w:sz w:val="20"/>
              </w:rPr>
              <w:t>路由表 路由表≥256K</w:t>
            </w:r>
          </w:p>
          <w:p>
            <w:pPr>
              <w:widowControl/>
              <w:jc w:val="left"/>
              <w:rPr>
                <w:rFonts w:cs="宋体"/>
                <w:color w:val="FF0000"/>
                <w:kern w:val="0"/>
                <w:sz w:val="20"/>
              </w:rPr>
            </w:pPr>
            <w:r>
              <w:rPr>
                <w:rFonts w:hint="eastAsia" w:cs="宋体"/>
                <w:color w:val="000000"/>
                <w:kern w:val="0"/>
                <w:sz w:val="20"/>
              </w:rPr>
              <w:t xml:space="preserve"> IPv4 FIB表项≥3M，IPv6 FIB表项≥1M</w:t>
            </w:r>
          </w:p>
          <w:p>
            <w:pPr>
              <w:widowControl/>
              <w:jc w:val="left"/>
              <w:rPr>
                <w:rFonts w:cs="宋体"/>
                <w:color w:val="FF0000"/>
                <w:kern w:val="0"/>
                <w:sz w:val="20"/>
              </w:rPr>
            </w:pPr>
            <w:r>
              <w:rPr>
                <w:rFonts w:hint="eastAsia" w:cs="宋体"/>
                <w:color w:val="000000"/>
                <w:kern w:val="0"/>
                <w:sz w:val="20"/>
              </w:rPr>
              <w:t xml:space="preserve"> ND表项≥256K</w:t>
            </w:r>
          </w:p>
          <w:p>
            <w:pPr>
              <w:widowControl/>
              <w:jc w:val="left"/>
              <w:rPr>
                <w:rFonts w:cs="宋体"/>
                <w:color w:val="000000"/>
                <w:kern w:val="0"/>
                <w:sz w:val="20"/>
              </w:rPr>
            </w:pPr>
            <w:r>
              <w:rPr>
                <w:rFonts w:hint="eastAsia" w:cs="宋体"/>
                <w:color w:val="000000"/>
                <w:kern w:val="0"/>
                <w:sz w:val="20"/>
              </w:rPr>
              <w:t>IPv6 支持RIPng、OSPFv3、BGP4+、IS-ISv6协议</w:t>
            </w:r>
          </w:p>
          <w:p>
            <w:pPr>
              <w:widowControl/>
              <w:jc w:val="left"/>
              <w:rPr>
                <w:rFonts w:cs="宋体"/>
                <w:color w:val="000000"/>
                <w:kern w:val="0"/>
                <w:sz w:val="20"/>
              </w:rPr>
            </w:pPr>
            <w:r>
              <w:rPr>
                <w:rFonts w:hint="eastAsia" w:cs="宋体"/>
                <w:color w:val="000000"/>
                <w:kern w:val="0"/>
                <w:sz w:val="20"/>
              </w:rPr>
              <w:t>支持IPv6策略路由；</w:t>
            </w:r>
          </w:p>
          <w:p>
            <w:pPr>
              <w:widowControl/>
              <w:jc w:val="left"/>
              <w:rPr>
                <w:rFonts w:cs="宋体"/>
                <w:color w:val="000000"/>
                <w:kern w:val="0"/>
                <w:sz w:val="20"/>
              </w:rPr>
            </w:pPr>
            <w:r>
              <w:rPr>
                <w:rFonts w:hint="eastAsia" w:cs="宋体"/>
                <w:color w:val="000000"/>
                <w:kern w:val="0"/>
                <w:sz w:val="20"/>
              </w:rPr>
              <w:t>支持DHCPv6功能、IPv6 portal功能、IPv6管理功能；</w:t>
            </w:r>
          </w:p>
          <w:p>
            <w:pPr>
              <w:widowControl/>
              <w:jc w:val="left"/>
              <w:rPr>
                <w:rFonts w:cs="宋体"/>
                <w:color w:val="000000"/>
                <w:kern w:val="0"/>
                <w:sz w:val="20"/>
              </w:rPr>
            </w:pPr>
            <w:r>
              <w:rPr>
                <w:rFonts w:hint="eastAsia" w:cs="宋体"/>
                <w:color w:val="000000"/>
                <w:kern w:val="0"/>
                <w:sz w:val="20"/>
              </w:rPr>
              <w:t>支持基于IPv6的VXLAN二三层互通；</w:t>
            </w:r>
          </w:p>
          <w:p>
            <w:pPr>
              <w:widowControl/>
              <w:jc w:val="left"/>
              <w:rPr>
                <w:rFonts w:cs="宋体"/>
                <w:color w:val="FF0000"/>
                <w:kern w:val="0"/>
                <w:sz w:val="20"/>
              </w:rPr>
            </w:pPr>
            <w:r>
              <w:rPr>
                <w:rFonts w:hint="eastAsia" w:cs="宋体"/>
                <w:color w:val="000000"/>
                <w:kern w:val="0"/>
                <w:sz w:val="20"/>
              </w:rPr>
              <w:t>支持基于IPv6的VRRP功能</w:t>
            </w:r>
          </w:p>
          <w:p>
            <w:pPr>
              <w:widowControl/>
              <w:jc w:val="left"/>
              <w:rPr>
                <w:rFonts w:cs="宋体"/>
                <w:color w:val="000000"/>
                <w:kern w:val="0"/>
                <w:sz w:val="20"/>
              </w:rPr>
            </w:pPr>
            <w:r>
              <w:rPr>
                <w:rFonts w:hint="eastAsia" w:cs="宋体"/>
                <w:color w:val="000000"/>
                <w:kern w:val="0"/>
                <w:sz w:val="20"/>
              </w:rPr>
              <w:t>ARP ARP表≥170K</w:t>
            </w:r>
          </w:p>
          <w:p>
            <w:pPr>
              <w:widowControl/>
              <w:jc w:val="left"/>
              <w:rPr>
                <w:rFonts w:cs="宋体"/>
                <w:color w:val="FF0000"/>
                <w:kern w:val="0"/>
                <w:sz w:val="20"/>
              </w:rPr>
            </w:pPr>
            <w:r>
              <w:rPr>
                <w:rFonts w:hint="eastAsia" w:cs="宋体"/>
                <w:color w:val="000000"/>
                <w:kern w:val="0"/>
                <w:sz w:val="20"/>
              </w:rPr>
              <w:t xml:space="preserve"> ARP表≥256K</w:t>
            </w:r>
          </w:p>
          <w:p>
            <w:pPr>
              <w:widowControl/>
              <w:jc w:val="left"/>
              <w:rPr>
                <w:rFonts w:cs="宋体"/>
                <w:color w:val="000000"/>
                <w:kern w:val="0"/>
                <w:sz w:val="20"/>
              </w:rPr>
            </w:pPr>
            <w:r>
              <w:rPr>
                <w:rFonts w:hint="eastAsia" w:cs="宋体"/>
                <w:color w:val="000000"/>
                <w:kern w:val="0"/>
                <w:sz w:val="20"/>
              </w:rPr>
              <w:t>虚拟化 Δ多虚一技术(N:1)，Δ一虚多技术（1:N）</w:t>
            </w:r>
          </w:p>
          <w:p>
            <w:pPr>
              <w:widowControl/>
              <w:jc w:val="left"/>
              <w:rPr>
                <w:rFonts w:cs="宋体"/>
                <w:color w:val="000000"/>
                <w:kern w:val="0"/>
                <w:sz w:val="20"/>
              </w:rPr>
            </w:pPr>
            <w:r>
              <w:rPr>
                <w:rFonts w:hint="eastAsia" w:cs="宋体"/>
                <w:color w:val="000000"/>
                <w:kern w:val="0"/>
                <w:sz w:val="20"/>
              </w:rPr>
              <w:t xml:space="preserve"> Δ支持多虚一技术和一虚多技术的配合使用</w:t>
            </w:r>
          </w:p>
          <w:p>
            <w:pPr>
              <w:widowControl/>
              <w:jc w:val="left"/>
              <w:rPr>
                <w:rFonts w:cs="宋体"/>
                <w:color w:val="000000"/>
                <w:kern w:val="0"/>
                <w:sz w:val="20"/>
              </w:rPr>
            </w:pPr>
            <w:r>
              <w:rPr>
                <w:rFonts w:hint="eastAsia" w:cs="宋体"/>
                <w:color w:val="000000"/>
                <w:kern w:val="0"/>
                <w:sz w:val="20"/>
              </w:rPr>
              <w:t>网络安全一体化 支持安全业务插卡FW、IPS、ACG、LB、SSL VPN</w:t>
            </w:r>
          </w:p>
          <w:p>
            <w:pPr>
              <w:widowControl/>
              <w:jc w:val="left"/>
              <w:rPr>
                <w:rFonts w:hint="eastAsia" w:cs="宋体"/>
                <w:color w:val="000000"/>
                <w:kern w:val="0"/>
                <w:sz w:val="20"/>
              </w:rPr>
            </w:pPr>
            <w:r>
              <w:rPr>
                <w:rFonts w:hint="eastAsia" w:cs="宋体"/>
                <w:color w:val="000000"/>
                <w:kern w:val="0"/>
                <w:sz w:val="20"/>
              </w:rPr>
              <w:t>可视化 支持Telemetry流量可视化功能</w:t>
            </w:r>
          </w:p>
          <w:p>
            <w:pPr>
              <w:widowControl/>
              <w:jc w:val="left"/>
              <w:rPr>
                <w:rFonts w:cs="宋体"/>
                <w:color w:val="000000"/>
                <w:kern w:val="0"/>
                <w:sz w:val="20"/>
              </w:rPr>
            </w:pPr>
            <w:r>
              <w:rPr>
                <w:rFonts w:hint="eastAsia" w:cs="宋体"/>
                <w:color w:val="000000"/>
                <w:kern w:val="0"/>
                <w:sz w:val="20"/>
              </w:rPr>
              <w:t>Δ有线无线一体化 支持AC板卡，POE，POE+</w:t>
            </w:r>
          </w:p>
          <w:p>
            <w:pPr>
              <w:widowControl/>
              <w:jc w:val="left"/>
              <w:rPr>
                <w:rFonts w:cs="宋体"/>
                <w:color w:val="000000"/>
                <w:kern w:val="0"/>
                <w:sz w:val="20"/>
              </w:rPr>
            </w:pPr>
            <w:r>
              <w:rPr>
                <w:rFonts w:hint="eastAsia" w:cs="宋体"/>
                <w:color w:val="000000"/>
                <w:kern w:val="0"/>
                <w:sz w:val="20"/>
              </w:rPr>
              <w:t xml:space="preserve"> 支持交换机内置AC功能</w:t>
            </w:r>
            <w:r>
              <w:rPr>
                <w:rFonts w:hint="eastAsia" w:cs="宋体"/>
                <w:color w:val="000000"/>
                <w:kern w:val="0"/>
                <w:sz w:val="20"/>
                <w:lang w:eastAsia="zh-CN"/>
              </w:rPr>
              <w:t>，</w:t>
            </w:r>
            <w:r>
              <w:rPr>
                <w:rFonts w:hint="eastAsia" w:cs="宋体"/>
                <w:color w:val="000000"/>
                <w:kern w:val="0"/>
                <w:sz w:val="20"/>
              </w:rPr>
              <w:t>无需独立的AC板卡或带AC功能的接口板，即支持无线AP管理功能。</w:t>
            </w:r>
          </w:p>
          <w:p>
            <w:pPr>
              <w:widowControl/>
              <w:jc w:val="left"/>
              <w:rPr>
                <w:rFonts w:cs="宋体"/>
                <w:color w:val="000000"/>
                <w:kern w:val="0"/>
                <w:sz w:val="20"/>
              </w:rPr>
            </w:pPr>
            <w:r>
              <w:rPr>
                <w:rFonts w:hint="eastAsia" w:cs="宋体"/>
                <w:color w:val="000000"/>
                <w:kern w:val="0"/>
                <w:sz w:val="20"/>
              </w:rPr>
              <w:t xml:space="preserve"> 支持有线无线一体化的终端准入认证</w:t>
            </w:r>
          </w:p>
          <w:p>
            <w:pPr>
              <w:widowControl/>
              <w:jc w:val="left"/>
              <w:rPr>
                <w:rFonts w:hint="eastAsia" w:cs="宋体"/>
                <w:color w:val="000000"/>
                <w:kern w:val="0"/>
                <w:sz w:val="20"/>
              </w:rPr>
            </w:pPr>
            <w:r>
              <w:rPr>
                <w:rFonts w:hint="eastAsia" w:cs="宋体"/>
                <w:color w:val="000000"/>
                <w:kern w:val="0"/>
                <w:sz w:val="20"/>
              </w:rPr>
              <w:t>Δ智能网管功能 内置智能管理功能，支持通过图形化界面设备配置及命令一键下发和版本智能升级</w:t>
            </w:r>
          </w:p>
          <w:p>
            <w:pPr>
              <w:widowControl/>
              <w:jc w:val="left"/>
              <w:rPr>
                <w:rFonts w:cs="宋体"/>
                <w:color w:val="000000"/>
                <w:kern w:val="0"/>
                <w:sz w:val="20"/>
              </w:rPr>
            </w:pPr>
            <w:r>
              <w:rPr>
                <w:rFonts w:hint="eastAsia" w:cs="宋体"/>
                <w:color w:val="000000"/>
                <w:kern w:val="0"/>
                <w:sz w:val="20"/>
              </w:rPr>
              <w:t>Δ终端管理及网络安全 支持PC终端、哑终端、网络设备等连接元素的准入控制和权限划分，确保网络的可信可控</w:t>
            </w:r>
          </w:p>
          <w:p>
            <w:pPr>
              <w:widowControl/>
              <w:jc w:val="left"/>
              <w:rPr>
                <w:rFonts w:cs="宋体"/>
                <w:color w:val="000000"/>
                <w:kern w:val="0"/>
                <w:sz w:val="20"/>
              </w:rPr>
            </w:pPr>
            <w:r>
              <w:rPr>
                <w:rFonts w:hint="eastAsia" w:cs="宋体"/>
                <w:color w:val="000000"/>
                <w:kern w:val="0"/>
                <w:sz w:val="20"/>
              </w:rPr>
              <w:t>支持设备识别、归类、类型定义，可以对全网资产进行梳理，识别异常终端链接，确保网络的安全性</w:t>
            </w:r>
          </w:p>
          <w:p>
            <w:pPr>
              <w:widowControl/>
              <w:jc w:val="left"/>
              <w:rPr>
                <w:rFonts w:cs="宋体"/>
                <w:color w:val="000000"/>
                <w:kern w:val="0"/>
                <w:sz w:val="20"/>
              </w:rPr>
            </w:pPr>
            <w:r>
              <w:rPr>
                <w:rFonts w:hint="eastAsia" w:cs="宋体"/>
                <w:color w:val="000000"/>
                <w:kern w:val="0"/>
                <w:sz w:val="20"/>
              </w:rPr>
              <w:t>Δ多业务融合 交换机支持集成SDN控制器，实现网络及SDN方案一体化部署，简化组网，简化运维</w:t>
            </w:r>
          </w:p>
          <w:p>
            <w:pPr>
              <w:widowControl/>
              <w:jc w:val="left"/>
              <w:rPr>
                <w:rFonts w:cs="宋体"/>
                <w:color w:val="000000"/>
                <w:kern w:val="0"/>
                <w:sz w:val="20"/>
              </w:rPr>
            </w:pPr>
            <w:r>
              <w:rPr>
                <w:rFonts w:hint="eastAsia" w:cs="宋体"/>
                <w:color w:val="000000"/>
                <w:kern w:val="0"/>
                <w:sz w:val="20"/>
              </w:rPr>
              <w:t>MPLS 支持L3 VPN</w:t>
            </w:r>
          </w:p>
          <w:p>
            <w:pPr>
              <w:widowControl/>
              <w:jc w:val="left"/>
              <w:rPr>
                <w:rFonts w:cs="宋体"/>
                <w:color w:val="000000"/>
                <w:kern w:val="0"/>
                <w:sz w:val="20"/>
              </w:rPr>
            </w:pPr>
            <w:r>
              <w:rPr>
                <w:rFonts w:hint="eastAsia" w:cs="宋体"/>
                <w:color w:val="000000"/>
                <w:kern w:val="0"/>
                <w:sz w:val="20"/>
              </w:rPr>
              <w:t xml:space="preserve"> 支持VLL</w:t>
            </w:r>
          </w:p>
          <w:p>
            <w:pPr>
              <w:widowControl/>
              <w:jc w:val="left"/>
              <w:rPr>
                <w:rFonts w:cs="宋体"/>
                <w:color w:val="000000"/>
                <w:kern w:val="0"/>
                <w:sz w:val="20"/>
              </w:rPr>
            </w:pPr>
            <w:r>
              <w:rPr>
                <w:rFonts w:hint="eastAsia" w:cs="宋体"/>
                <w:color w:val="000000"/>
                <w:kern w:val="0"/>
                <w:sz w:val="20"/>
              </w:rPr>
              <w:t xml:space="preserve"> 支持VLPS</w:t>
            </w:r>
          </w:p>
          <w:p>
            <w:pPr>
              <w:widowControl/>
              <w:jc w:val="left"/>
              <w:rPr>
                <w:rFonts w:cs="宋体"/>
                <w:color w:val="000000"/>
                <w:kern w:val="0"/>
                <w:sz w:val="20"/>
              </w:rPr>
            </w:pPr>
            <w:r>
              <w:rPr>
                <w:rFonts w:hint="eastAsia" w:cs="宋体"/>
                <w:color w:val="000000"/>
                <w:kern w:val="0"/>
                <w:sz w:val="20"/>
              </w:rPr>
              <w:t xml:space="preserve"> 支持MCE</w:t>
            </w:r>
          </w:p>
          <w:p>
            <w:pPr>
              <w:widowControl/>
              <w:jc w:val="left"/>
              <w:rPr>
                <w:rFonts w:cs="宋体"/>
                <w:color w:val="000000"/>
                <w:kern w:val="0"/>
                <w:sz w:val="20"/>
              </w:rPr>
            </w:pPr>
            <w:r>
              <w:rPr>
                <w:rFonts w:hint="eastAsia" w:cs="宋体"/>
                <w:color w:val="000000"/>
                <w:kern w:val="0"/>
                <w:sz w:val="20"/>
              </w:rPr>
              <w:t>ΔSDN/OPENFLOW 支持OPENFLOW</w:t>
            </w:r>
          </w:p>
          <w:p>
            <w:pPr>
              <w:widowControl/>
              <w:jc w:val="left"/>
              <w:rPr>
                <w:rFonts w:cs="宋体"/>
                <w:color w:val="000000"/>
                <w:kern w:val="0"/>
                <w:sz w:val="20"/>
              </w:rPr>
            </w:pPr>
            <w:r>
              <w:rPr>
                <w:rFonts w:hint="eastAsia" w:cs="宋体"/>
                <w:color w:val="000000"/>
                <w:kern w:val="0"/>
                <w:sz w:val="20"/>
              </w:rPr>
              <w:t>支持普通模式和Openflow 模式切换</w:t>
            </w:r>
          </w:p>
          <w:p>
            <w:pPr>
              <w:widowControl/>
              <w:jc w:val="left"/>
              <w:rPr>
                <w:rFonts w:cs="宋体"/>
                <w:color w:val="000000"/>
                <w:kern w:val="0"/>
                <w:sz w:val="20"/>
              </w:rPr>
            </w:pPr>
            <w:r>
              <w:rPr>
                <w:rFonts w:hint="eastAsia" w:cs="宋体"/>
                <w:color w:val="000000"/>
                <w:kern w:val="0"/>
                <w:sz w:val="20"/>
              </w:rPr>
              <w:t>支持多控制器（EQUAL模式、主备模式）</w:t>
            </w:r>
          </w:p>
          <w:p>
            <w:pPr>
              <w:widowControl/>
              <w:jc w:val="left"/>
              <w:rPr>
                <w:rFonts w:cs="宋体"/>
                <w:color w:val="000000"/>
                <w:kern w:val="0"/>
                <w:sz w:val="20"/>
              </w:rPr>
            </w:pPr>
            <w:r>
              <w:rPr>
                <w:rFonts w:hint="eastAsia" w:cs="宋体"/>
                <w:color w:val="000000"/>
                <w:kern w:val="0"/>
                <w:sz w:val="20"/>
              </w:rPr>
              <w:t>支持多表流水线</w:t>
            </w:r>
          </w:p>
          <w:p>
            <w:pPr>
              <w:widowControl/>
              <w:jc w:val="left"/>
              <w:rPr>
                <w:rFonts w:cs="宋体"/>
                <w:color w:val="000000"/>
                <w:kern w:val="0"/>
                <w:sz w:val="20"/>
              </w:rPr>
            </w:pPr>
            <w:r>
              <w:rPr>
                <w:rFonts w:hint="eastAsia" w:cs="宋体"/>
                <w:color w:val="000000"/>
                <w:kern w:val="0"/>
                <w:sz w:val="20"/>
              </w:rPr>
              <w:t>支持Group table</w:t>
            </w:r>
          </w:p>
          <w:p>
            <w:pPr>
              <w:widowControl/>
              <w:jc w:val="left"/>
              <w:rPr>
                <w:rFonts w:cs="宋体"/>
                <w:color w:val="000000"/>
                <w:kern w:val="0"/>
                <w:sz w:val="20"/>
              </w:rPr>
            </w:pPr>
            <w:r>
              <w:rPr>
                <w:rFonts w:hint="eastAsia" w:cs="宋体"/>
                <w:color w:val="000000"/>
                <w:kern w:val="0"/>
                <w:sz w:val="20"/>
              </w:rPr>
              <w:t>支持Meter</w:t>
            </w:r>
          </w:p>
          <w:p>
            <w:pPr>
              <w:widowControl/>
              <w:jc w:val="left"/>
              <w:rPr>
                <w:rFonts w:cs="宋体"/>
                <w:color w:val="FF0000"/>
                <w:kern w:val="0"/>
                <w:sz w:val="20"/>
              </w:rPr>
            </w:pPr>
            <w:bookmarkStart w:id="302" w:name="_GoBack"/>
            <w:bookmarkEnd w:id="302"/>
            <w:r>
              <w:rPr>
                <w:rFonts w:hint="eastAsia" w:cs="宋体"/>
                <w:color w:val="000000"/>
                <w:kern w:val="0"/>
                <w:sz w:val="20"/>
              </w:rPr>
              <w:t>ΔVxLAN 支持VxLAN 网关</w:t>
            </w:r>
          </w:p>
          <w:p>
            <w:pPr>
              <w:widowControl/>
              <w:jc w:val="left"/>
              <w:rPr>
                <w:rFonts w:cs="宋体"/>
                <w:color w:val="000000"/>
                <w:kern w:val="0"/>
                <w:sz w:val="20"/>
              </w:rPr>
            </w:pPr>
            <w:r>
              <w:rPr>
                <w:rFonts w:hint="eastAsia" w:cs="宋体"/>
                <w:color w:val="000000"/>
                <w:kern w:val="0"/>
                <w:sz w:val="20"/>
              </w:rPr>
              <w:t>*安全特性 支持IPv4 uRPF</w:t>
            </w:r>
          </w:p>
          <w:p>
            <w:pPr>
              <w:widowControl/>
              <w:jc w:val="left"/>
              <w:rPr>
                <w:rFonts w:cs="宋体"/>
                <w:color w:val="000000"/>
                <w:kern w:val="0"/>
                <w:sz w:val="20"/>
              </w:rPr>
            </w:pPr>
            <w:r>
              <w:rPr>
                <w:rFonts w:hint="eastAsia" w:cs="宋体"/>
                <w:color w:val="000000"/>
                <w:kern w:val="0"/>
                <w:sz w:val="20"/>
              </w:rPr>
              <w:t xml:space="preserve"> 支持DHCP Snooping</w:t>
            </w:r>
          </w:p>
          <w:p>
            <w:pPr>
              <w:widowControl/>
              <w:jc w:val="left"/>
              <w:rPr>
                <w:rFonts w:cs="宋体"/>
                <w:color w:val="000000"/>
                <w:kern w:val="0"/>
                <w:sz w:val="20"/>
              </w:rPr>
            </w:pPr>
            <w:r>
              <w:rPr>
                <w:rFonts w:hint="eastAsia" w:cs="宋体"/>
                <w:color w:val="000000"/>
                <w:kern w:val="0"/>
                <w:sz w:val="20"/>
              </w:rPr>
              <w:t xml:space="preserve"> 支持ARP防攻击</w:t>
            </w:r>
          </w:p>
          <w:p>
            <w:pPr>
              <w:widowControl/>
              <w:jc w:val="left"/>
              <w:rPr>
                <w:rFonts w:cs="宋体"/>
                <w:color w:val="000000"/>
                <w:kern w:val="0"/>
                <w:sz w:val="20"/>
              </w:rPr>
            </w:pPr>
            <w:r>
              <w:rPr>
                <w:rFonts w:hint="eastAsia" w:cs="宋体"/>
                <w:color w:val="000000"/>
                <w:kern w:val="0"/>
                <w:sz w:val="20"/>
              </w:rPr>
              <w:t xml:space="preserve"> 支持IP Source Guard</w:t>
            </w:r>
          </w:p>
          <w:p>
            <w:pPr>
              <w:widowControl/>
              <w:jc w:val="left"/>
              <w:rPr>
                <w:rFonts w:cs="宋体"/>
                <w:color w:val="000000"/>
                <w:kern w:val="0"/>
                <w:sz w:val="20"/>
              </w:rPr>
            </w:pPr>
            <w:r>
              <w:rPr>
                <w:rFonts w:hint="eastAsia" w:cs="宋体"/>
                <w:color w:val="000000"/>
                <w:kern w:val="0"/>
                <w:sz w:val="20"/>
              </w:rPr>
              <w:t xml:space="preserve"> 支持CoPP</w:t>
            </w:r>
          </w:p>
          <w:p>
            <w:pPr>
              <w:widowControl/>
              <w:jc w:val="left"/>
              <w:rPr>
                <w:rFonts w:cs="宋体"/>
                <w:color w:val="000000"/>
                <w:kern w:val="0"/>
                <w:sz w:val="20"/>
              </w:rPr>
            </w:pPr>
            <w:r>
              <w:rPr>
                <w:rFonts w:hint="eastAsia" w:cs="宋体"/>
                <w:color w:val="000000"/>
                <w:kern w:val="0"/>
                <w:sz w:val="20"/>
              </w:rPr>
              <w:t xml:space="preserve"> 支持广播风暴抑制</w:t>
            </w:r>
          </w:p>
          <w:p>
            <w:pPr>
              <w:widowControl/>
              <w:jc w:val="left"/>
              <w:rPr>
                <w:rFonts w:cs="宋体"/>
                <w:color w:val="000000"/>
                <w:kern w:val="0"/>
                <w:sz w:val="20"/>
              </w:rPr>
            </w:pPr>
            <w:r>
              <w:rPr>
                <w:rFonts w:hint="eastAsia" w:cs="宋体"/>
                <w:color w:val="000000"/>
                <w:kern w:val="0"/>
                <w:sz w:val="20"/>
              </w:rPr>
              <w:t xml:space="preserve"> 支持EAD</w:t>
            </w:r>
          </w:p>
          <w:p>
            <w:pPr>
              <w:widowControl/>
              <w:jc w:val="left"/>
              <w:rPr>
                <w:rFonts w:cs="宋体"/>
                <w:color w:val="000000"/>
                <w:kern w:val="0"/>
                <w:sz w:val="20"/>
              </w:rPr>
            </w:pPr>
            <w:r>
              <w:rPr>
                <w:rFonts w:hint="eastAsia" w:cs="宋体"/>
                <w:color w:val="000000"/>
                <w:kern w:val="0"/>
                <w:sz w:val="20"/>
              </w:rPr>
              <w:t xml:space="preserve"> 支持端口隔离</w:t>
            </w:r>
          </w:p>
          <w:p>
            <w:pPr>
              <w:widowControl/>
              <w:jc w:val="left"/>
              <w:rPr>
                <w:rFonts w:cs="宋体"/>
                <w:color w:val="000000"/>
                <w:kern w:val="0"/>
                <w:sz w:val="20"/>
              </w:rPr>
            </w:pPr>
            <w:r>
              <w:rPr>
                <w:rFonts w:hint="eastAsia" w:cs="宋体"/>
                <w:color w:val="000000"/>
                <w:kern w:val="0"/>
                <w:sz w:val="20"/>
              </w:rPr>
              <w:t xml:space="preserve"> 支持IP+MAC+VLAN+PORT的绑定</w:t>
            </w:r>
          </w:p>
          <w:p>
            <w:pPr>
              <w:widowControl/>
              <w:jc w:val="left"/>
              <w:rPr>
                <w:rFonts w:cs="宋体"/>
                <w:color w:val="000000"/>
                <w:kern w:val="0"/>
                <w:sz w:val="20"/>
              </w:rPr>
            </w:pPr>
            <w:r>
              <w:rPr>
                <w:rFonts w:hint="eastAsia" w:cs="宋体"/>
                <w:color w:val="000000"/>
                <w:kern w:val="0"/>
                <w:sz w:val="20"/>
              </w:rPr>
              <w:t xml:space="preserve"> 支持报文过滤功能，黑洞路由、黑洞MAC</w:t>
            </w:r>
          </w:p>
          <w:p>
            <w:pPr>
              <w:widowControl/>
              <w:jc w:val="left"/>
              <w:rPr>
                <w:rFonts w:cs="宋体"/>
                <w:color w:val="000000"/>
                <w:kern w:val="0"/>
                <w:sz w:val="20"/>
              </w:rPr>
            </w:pPr>
            <w:r>
              <w:rPr>
                <w:rFonts w:hint="eastAsia" w:cs="宋体"/>
                <w:color w:val="000000"/>
                <w:kern w:val="0"/>
                <w:sz w:val="20"/>
              </w:rPr>
              <w:t xml:space="preserve"> Δ支持IEEE 802.1ae介质访问控制安全技术</w:t>
            </w:r>
          </w:p>
          <w:p>
            <w:pPr>
              <w:widowControl/>
              <w:jc w:val="left"/>
              <w:rPr>
                <w:rFonts w:cs="宋体"/>
                <w:color w:val="000000"/>
                <w:kern w:val="0"/>
                <w:sz w:val="20"/>
              </w:rPr>
            </w:pPr>
            <w:r>
              <w:rPr>
                <w:rFonts w:hint="eastAsia" w:cs="宋体"/>
                <w:color w:val="000000"/>
                <w:kern w:val="0"/>
                <w:sz w:val="20"/>
              </w:rPr>
              <w:t>管理特性 支持Console/AUX/Telnet/SSH2.0</w:t>
            </w:r>
          </w:p>
          <w:p>
            <w:pPr>
              <w:widowControl/>
              <w:jc w:val="left"/>
              <w:rPr>
                <w:rFonts w:cs="宋体"/>
                <w:color w:val="000000"/>
                <w:kern w:val="0"/>
                <w:sz w:val="20"/>
              </w:rPr>
            </w:pPr>
            <w:r>
              <w:rPr>
                <w:rFonts w:hint="eastAsia" w:cs="宋体"/>
                <w:color w:val="000000"/>
                <w:kern w:val="0"/>
                <w:sz w:val="20"/>
              </w:rPr>
              <w:t xml:space="preserve"> 支持风扇管理</w:t>
            </w:r>
          </w:p>
          <w:p>
            <w:pPr>
              <w:widowControl/>
              <w:jc w:val="left"/>
              <w:rPr>
                <w:rFonts w:cs="宋体"/>
                <w:color w:val="000000"/>
                <w:kern w:val="0"/>
                <w:sz w:val="20"/>
              </w:rPr>
            </w:pPr>
            <w:r>
              <w:rPr>
                <w:rFonts w:hint="eastAsia" w:cs="宋体"/>
                <w:color w:val="000000"/>
                <w:kern w:val="0"/>
                <w:sz w:val="20"/>
              </w:rPr>
              <w:t xml:space="preserve"> 支持电源管理</w:t>
            </w:r>
          </w:p>
          <w:p>
            <w:pPr>
              <w:widowControl/>
              <w:jc w:val="left"/>
              <w:rPr>
                <w:rFonts w:cs="宋体"/>
                <w:color w:val="000000"/>
                <w:kern w:val="0"/>
                <w:sz w:val="20"/>
              </w:rPr>
            </w:pPr>
            <w:r>
              <w:rPr>
                <w:rFonts w:hint="eastAsia" w:cs="宋体"/>
                <w:color w:val="000000"/>
                <w:kern w:val="0"/>
                <w:sz w:val="20"/>
              </w:rPr>
              <w:t xml:space="preserve"> 支持在线诊断</w:t>
            </w:r>
          </w:p>
          <w:p>
            <w:pPr>
              <w:widowControl/>
              <w:jc w:val="left"/>
              <w:rPr>
                <w:rFonts w:cs="宋体"/>
                <w:color w:val="000000"/>
                <w:kern w:val="0"/>
                <w:sz w:val="20"/>
              </w:rPr>
            </w:pPr>
            <w:r>
              <w:rPr>
                <w:rFonts w:hint="eastAsia" w:cs="宋体"/>
                <w:color w:val="000000"/>
                <w:kern w:val="0"/>
                <w:sz w:val="20"/>
              </w:rPr>
              <w:t xml:space="preserve"> 支持SNMPv1/v2</w:t>
            </w:r>
          </w:p>
          <w:p>
            <w:pPr>
              <w:widowControl/>
              <w:jc w:val="left"/>
              <w:rPr>
                <w:rFonts w:cs="宋体"/>
                <w:color w:val="000000"/>
                <w:kern w:val="0"/>
                <w:sz w:val="20"/>
              </w:rPr>
            </w:pPr>
            <w:r>
              <w:rPr>
                <w:rFonts w:hint="eastAsia" w:cs="宋体"/>
                <w:color w:val="000000"/>
                <w:kern w:val="0"/>
                <w:sz w:val="20"/>
              </w:rPr>
              <w:t xml:space="preserve"> 支持 SNMPv3</w:t>
            </w:r>
          </w:p>
          <w:p>
            <w:pPr>
              <w:widowControl/>
              <w:jc w:val="left"/>
              <w:rPr>
                <w:rFonts w:cs="宋体"/>
                <w:color w:val="000000"/>
                <w:kern w:val="0"/>
                <w:sz w:val="20"/>
              </w:rPr>
            </w:pPr>
            <w:r>
              <w:rPr>
                <w:rFonts w:hint="eastAsia" w:cs="宋体"/>
                <w:color w:val="000000"/>
                <w:kern w:val="0"/>
                <w:sz w:val="20"/>
              </w:rPr>
              <w:t xml:space="preserve"> 支持RMON(RFC2819)</w:t>
            </w:r>
          </w:p>
          <w:p>
            <w:pPr>
              <w:widowControl/>
              <w:jc w:val="left"/>
              <w:rPr>
                <w:rFonts w:cs="宋体"/>
                <w:color w:val="000000"/>
                <w:kern w:val="0"/>
                <w:sz w:val="20"/>
              </w:rPr>
            </w:pPr>
            <w:r>
              <w:rPr>
                <w:rFonts w:hint="eastAsia" w:cs="宋体"/>
                <w:color w:val="000000"/>
                <w:kern w:val="0"/>
                <w:sz w:val="20"/>
              </w:rPr>
              <w:t xml:space="preserve"> 支持端口镜像</w:t>
            </w:r>
          </w:p>
          <w:p>
            <w:pPr>
              <w:widowControl/>
              <w:jc w:val="left"/>
              <w:rPr>
                <w:rFonts w:cs="宋体"/>
                <w:color w:val="000000"/>
                <w:kern w:val="0"/>
                <w:sz w:val="20"/>
              </w:rPr>
            </w:pPr>
            <w:r>
              <w:rPr>
                <w:rFonts w:hint="eastAsia" w:cs="宋体"/>
                <w:color w:val="000000"/>
                <w:kern w:val="0"/>
                <w:sz w:val="20"/>
              </w:rPr>
              <w:t xml:space="preserve"> 支持VLAN镜像</w:t>
            </w:r>
          </w:p>
          <w:p>
            <w:pPr>
              <w:widowControl/>
              <w:jc w:val="left"/>
              <w:rPr>
                <w:rFonts w:cs="宋体"/>
                <w:color w:val="000000"/>
                <w:kern w:val="0"/>
                <w:sz w:val="20"/>
              </w:rPr>
            </w:pPr>
            <w:r>
              <w:rPr>
                <w:rFonts w:hint="eastAsia" w:cs="宋体"/>
                <w:color w:val="000000"/>
                <w:kern w:val="0"/>
                <w:sz w:val="20"/>
              </w:rPr>
              <w:t xml:space="preserve"> 支持RSPAN</w:t>
            </w:r>
          </w:p>
          <w:p>
            <w:pPr>
              <w:widowControl/>
              <w:jc w:val="left"/>
              <w:rPr>
                <w:rFonts w:cs="宋体"/>
                <w:color w:val="000000"/>
                <w:kern w:val="0"/>
                <w:sz w:val="20"/>
              </w:rPr>
            </w:pPr>
            <w:r>
              <w:rPr>
                <w:rFonts w:hint="eastAsia" w:cs="宋体"/>
                <w:color w:val="000000"/>
                <w:kern w:val="0"/>
                <w:sz w:val="20"/>
              </w:rPr>
              <w:t xml:space="preserve"> 支持流镜像</w:t>
            </w:r>
          </w:p>
          <w:p>
            <w:pPr>
              <w:widowControl/>
              <w:jc w:val="left"/>
              <w:rPr>
                <w:rFonts w:cs="宋体"/>
                <w:color w:val="000000"/>
                <w:kern w:val="0"/>
                <w:sz w:val="20"/>
              </w:rPr>
            </w:pPr>
            <w:r>
              <w:rPr>
                <w:rFonts w:hint="eastAsia" w:cs="宋体"/>
                <w:color w:val="000000"/>
                <w:kern w:val="0"/>
                <w:sz w:val="20"/>
              </w:rPr>
              <w:t>NAS 支持802.1x</w:t>
            </w:r>
          </w:p>
          <w:p>
            <w:pPr>
              <w:widowControl/>
              <w:jc w:val="left"/>
              <w:rPr>
                <w:rFonts w:cs="宋体"/>
                <w:color w:val="000000"/>
                <w:kern w:val="0"/>
                <w:sz w:val="20"/>
              </w:rPr>
            </w:pPr>
            <w:r>
              <w:rPr>
                <w:rFonts w:hint="eastAsia" w:cs="宋体"/>
                <w:color w:val="000000"/>
                <w:kern w:val="0"/>
                <w:sz w:val="20"/>
              </w:rPr>
              <w:t xml:space="preserve"> 支持mac认证</w:t>
            </w:r>
          </w:p>
          <w:p>
            <w:pPr>
              <w:widowControl/>
              <w:jc w:val="left"/>
              <w:rPr>
                <w:rFonts w:cs="宋体"/>
                <w:color w:val="000000"/>
                <w:kern w:val="0"/>
                <w:sz w:val="20"/>
              </w:rPr>
            </w:pPr>
            <w:r>
              <w:rPr>
                <w:rFonts w:hint="eastAsia" w:cs="宋体"/>
                <w:color w:val="000000"/>
                <w:kern w:val="0"/>
                <w:sz w:val="20"/>
              </w:rPr>
              <w:t xml:space="preserve"> 支持Portal</w:t>
            </w:r>
          </w:p>
          <w:p>
            <w:pPr>
              <w:widowControl/>
              <w:jc w:val="left"/>
              <w:rPr>
                <w:rFonts w:cs="宋体"/>
                <w:color w:val="000000"/>
                <w:kern w:val="0"/>
                <w:sz w:val="20"/>
              </w:rPr>
            </w:pPr>
            <w:r>
              <w:rPr>
                <w:rFonts w:hint="eastAsia" w:cs="宋体"/>
                <w:color w:val="000000"/>
                <w:kern w:val="0"/>
                <w:sz w:val="20"/>
              </w:rPr>
              <w:t xml:space="preserve"> 支持本地认证</w:t>
            </w:r>
          </w:p>
          <w:p>
            <w:pPr>
              <w:widowControl/>
              <w:jc w:val="left"/>
              <w:rPr>
                <w:rFonts w:cs="宋体"/>
                <w:color w:val="000000"/>
                <w:kern w:val="0"/>
                <w:sz w:val="20"/>
              </w:rPr>
            </w:pPr>
            <w:r>
              <w:rPr>
                <w:rFonts w:hint="eastAsia" w:cs="宋体"/>
                <w:color w:val="000000"/>
                <w:kern w:val="0"/>
                <w:sz w:val="20"/>
              </w:rPr>
              <w:t xml:space="preserve"> 支持Radius认证</w:t>
            </w:r>
          </w:p>
          <w:p>
            <w:pPr>
              <w:widowControl/>
              <w:jc w:val="left"/>
              <w:rPr>
                <w:rFonts w:cs="宋体"/>
                <w:color w:val="000000"/>
                <w:kern w:val="0"/>
                <w:sz w:val="20"/>
              </w:rPr>
            </w:pPr>
            <w:r>
              <w:rPr>
                <w:rFonts w:hint="eastAsia" w:cs="宋体"/>
                <w:color w:val="000000"/>
                <w:kern w:val="0"/>
                <w:sz w:val="20"/>
              </w:rPr>
              <w:t xml:space="preserve"> 支持Tacacs+认证</w:t>
            </w:r>
          </w:p>
          <w:p>
            <w:pPr>
              <w:widowControl/>
              <w:jc w:val="left"/>
              <w:rPr>
                <w:rFonts w:cs="宋体"/>
                <w:color w:val="000000"/>
                <w:kern w:val="0"/>
                <w:sz w:val="20"/>
              </w:rPr>
            </w:pPr>
            <w:r>
              <w:rPr>
                <w:rFonts w:hint="eastAsia" w:cs="宋体"/>
                <w:color w:val="000000"/>
                <w:kern w:val="0"/>
                <w:sz w:val="20"/>
              </w:rPr>
              <w:t>支持ipv6永久使用授权</w:t>
            </w:r>
          </w:p>
          <w:p>
            <w:pPr>
              <w:widowControl/>
              <w:jc w:val="left"/>
              <w:rPr>
                <w:rFonts w:cs="宋体"/>
                <w:color w:val="000000"/>
                <w:kern w:val="0"/>
                <w:sz w:val="20"/>
              </w:rPr>
            </w:pPr>
            <w:r>
              <w:rPr>
                <w:rFonts w:hint="eastAsia" w:cs="宋体"/>
                <w:color w:val="000000"/>
                <w:kern w:val="0"/>
                <w:sz w:val="20"/>
              </w:rPr>
              <w:t>涉及到设备之间连接所需的电源线缆及其他类型线缆，由设备厂家负责提供，具体长度以现场实际长度为准</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cs="宋体"/>
                <w:color w:val="000000"/>
                <w:kern w:val="0"/>
                <w:sz w:val="20"/>
              </w:rPr>
              <w:t>2</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单模光模块</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最大传输速率1.25Gbps</w:t>
            </w:r>
          </w:p>
          <w:p>
            <w:pPr>
              <w:widowControl/>
              <w:jc w:val="left"/>
              <w:rPr>
                <w:rFonts w:cs="宋体"/>
                <w:color w:val="000000"/>
                <w:kern w:val="0"/>
                <w:sz w:val="20"/>
              </w:rPr>
            </w:pPr>
            <w:r>
              <w:rPr>
                <w:rFonts w:hint="eastAsia" w:cs="宋体"/>
                <w:color w:val="000000"/>
                <w:kern w:val="0"/>
                <w:sz w:val="20"/>
              </w:rPr>
              <w:t>1310纳米 FP激光器</w:t>
            </w:r>
          </w:p>
          <w:p>
            <w:pPr>
              <w:widowControl/>
              <w:jc w:val="left"/>
              <w:rPr>
                <w:rFonts w:cs="宋体"/>
                <w:color w:val="000000"/>
                <w:kern w:val="0"/>
                <w:sz w:val="20"/>
              </w:rPr>
            </w:pPr>
            <w:r>
              <w:rPr>
                <w:rFonts w:hint="eastAsia" w:cs="宋体"/>
                <w:color w:val="000000"/>
                <w:kern w:val="0"/>
                <w:sz w:val="20"/>
              </w:rPr>
              <w:t>典型传输距离20公里(单模光纤)</w:t>
            </w:r>
          </w:p>
          <w:p>
            <w:pPr>
              <w:widowControl/>
              <w:jc w:val="left"/>
              <w:rPr>
                <w:rFonts w:cs="宋体"/>
                <w:color w:val="000000"/>
                <w:kern w:val="0"/>
                <w:sz w:val="20"/>
              </w:rPr>
            </w:pPr>
            <w:r>
              <w:rPr>
                <w:rFonts w:hint="eastAsia" w:cs="宋体"/>
                <w:color w:val="000000"/>
                <w:kern w:val="0"/>
                <w:sz w:val="20"/>
              </w:rPr>
              <w:t>3.3V单电压，TTL逻辑接口</w:t>
            </w:r>
          </w:p>
          <w:p>
            <w:pPr>
              <w:widowControl/>
              <w:jc w:val="left"/>
              <w:rPr>
                <w:rFonts w:cs="宋体"/>
                <w:color w:val="000000"/>
                <w:kern w:val="0"/>
                <w:sz w:val="20"/>
              </w:rPr>
            </w:pPr>
            <w:r>
              <w:rPr>
                <w:rFonts w:hint="eastAsia" w:cs="宋体"/>
                <w:color w:val="000000"/>
                <w:kern w:val="0"/>
                <w:sz w:val="20"/>
              </w:rPr>
              <w:t>双LC接口，支持热插拔</w:t>
            </w:r>
          </w:p>
          <w:p>
            <w:pPr>
              <w:widowControl/>
              <w:jc w:val="left"/>
              <w:rPr>
                <w:rFonts w:cs="宋体"/>
                <w:color w:val="000000"/>
                <w:kern w:val="0"/>
                <w:sz w:val="20"/>
              </w:rPr>
            </w:pPr>
            <w:r>
              <w:rPr>
                <w:rFonts w:hint="eastAsia" w:cs="宋体"/>
                <w:color w:val="000000"/>
                <w:kern w:val="0"/>
                <w:sz w:val="20"/>
              </w:rPr>
              <w:t>1类激光器</w:t>
            </w:r>
          </w:p>
          <w:p>
            <w:pPr>
              <w:widowControl/>
              <w:jc w:val="left"/>
              <w:rPr>
                <w:rFonts w:cs="宋体"/>
                <w:color w:val="000000"/>
                <w:kern w:val="0"/>
                <w:sz w:val="20"/>
              </w:rPr>
            </w:pPr>
            <w:r>
              <w:rPr>
                <w:rFonts w:hint="eastAsia" w:cs="宋体"/>
                <w:color w:val="000000"/>
                <w:kern w:val="0"/>
                <w:sz w:val="20"/>
              </w:rPr>
              <w:t>支持数字诊断功能</w:t>
            </w:r>
          </w:p>
          <w:p>
            <w:pPr>
              <w:widowControl/>
              <w:jc w:val="left"/>
              <w:rPr>
                <w:rFonts w:cs="宋体"/>
                <w:color w:val="000000"/>
                <w:kern w:val="0"/>
                <w:sz w:val="20"/>
              </w:rPr>
            </w:pPr>
            <w:r>
              <w:rPr>
                <w:rFonts w:hint="eastAsia" w:cs="宋体"/>
                <w:color w:val="000000"/>
                <w:kern w:val="0"/>
                <w:sz w:val="20"/>
              </w:rPr>
              <w:t>符合MSA SFP规范</w:t>
            </w:r>
          </w:p>
          <w:p>
            <w:pPr>
              <w:widowControl/>
              <w:jc w:val="left"/>
              <w:rPr>
                <w:rFonts w:cs="宋体"/>
                <w:color w:val="000000"/>
                <w:kern w:val="0"/>
                <w:sz w:val="20"/>
              </w:rPr>
            </w:pPr>
            <w:r>
              <w:rPr>
                <w:rFonts w:hint="eastAsia" w:cs="宋体"/>
                <w:color w:val="000000"/>
                <w:kern w:val="0"/>
                <w:sz w:val="20"/>
              </w:rPr>
              <w:t>符合SFF-8472规范</w:t>
            </w:r>
          </w:p>
          <w:p>
            <w:pPr>
              <w:widowControl/>
              <w:jc w:val="left"/>
              <w:rPr>
                <w:rFonts w:cs="宋体"/>
                <w:color w:val="000000"/>
                <w:kern w:val="0"/>
                <w:sz w:val="20"/>
              </w:rPr>
            </w:pPr>
            <w:r>
              <w:rPr>
                <w:rFonts w:hint="eastAsia" w:cs="宋体"/>
                <w:color w:val="000000"/>
                <w:kern w:val="0"/>
                <w:sz w:val="20"/>
              </w:rPr>
              <w:t>符合 IEC60825-1标准</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cs="宋体"/>
                <w:color w:val="000000"/>
                <w:kern w:val="0"/>
                <w:sz w:val="20"/>
              </w:rPr>
              <w:t>3</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多模光模块</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最大传输速率1.25Gbps</w:t>
            </w:r>
          </w:p>
          <w:p>
            <w:pPr>
              <w:widowControl/>
              <w:jc w:val="left"/>
              <w:rPr>
                <w:rFonts w:cs="宋体"/>
                <w:color w:val="000000"/>
                <w:kern w:val="0"/>
                <w:sz w:val="20"/>
              </w:rPr>
            </w:pPr>
            <w:r>
              <w:rPr>
                <w:rFonts w:hint="eastAsia" w:cs="宋体"/>
                <w:color w:val="000000"/>
                <w:kern w:val="0"/>
                <w:sz w:val="20"/>
              </w:rPr>
              <w:t>850纳米 VCESL Laser发射</w:t>
            </w:r>
          </w:p>
          <w:p>
            <w:pPr>
              <w:widowControl/>
              <w:jc w:val="left"/>
              <w:rPr>
                <w:rFonts w:cs="宋体"/>
                <w:color w:val="000000"/>
                <w:kern w:val="0"/>
                <w:sz w:val="20"/>
              </w:rPr>
            </w:pPr>
            <w:r>
              <w:rPr>
                <w:rFonts w:hint="eastAsia" w:cs="宋体"/>
                <w:color w:val="000000"/>
                <w:kern w:val="0"/>
                <w:sz w:val="20"/>
              </w:rPr>
              <w:t>典型传输距离550米(多模光纤)</w:t>
            </w:r>
          </w:p>
          <w:p>
            <w:pPr>
              <w:widowControl/>
              <w:jc w:val="left"/>
              <w:rPr>
                <w:rFonts w:cs="宋体"/>
                <w:color w:val="000000"/>
                <w:kern w:val="0"/>
                <w:sz w:val="20"/>
              </w:rPr>
            </w:pPr>
            <w:r>
              <w:rPr>
                <w:rFonts w:hint="eastAsia" w:cs="宋体"/>
                <w:color w:val="000000"/>
                <w:kern w:val="0"/>
                <w:sz w:val="20"/>
              </w:rPr>
              <w:t>3.3V单电压，TTL逻辑接口</w:t>
            </w:r>
          </w:p>
          <w:p>
            <w:pPr>
              <w:widowControl/>
              <w:jc w:val="left"/>
              <w:rPr>
                <w:rFonts w:cs="宋体"/>
                <w:color w:val="000000"/>
                <w:kern w:val="0"/>
                <w:sz w:val="20"/>
              </w:rPr>
            </w:pPr>
            <w:r>
              <w:rPr>
                <w:rFonts w:hint="eastAsia" w:cs="宋体"/>
                <w:color w:val="000000"/>
                <w:kern w:val="0"/>
                <w:sz w:val="20"/>
              </w:rPr>
              <w:t>双LC接口，支持热插拔</w:t>
            </w:r>
          </w:p>
          <w:p>
            <w:pPr>
              <w:widowControl/>
              <w:jc w:val="left"/>
              <w:rPr>
                <w:rFonts w:cs="宋体"/>
                <w:color w:val="000000"/>
                <w:kern w:val="0"/>
                <w:sz w:val="20"/>
              </w:rPr>
            </w:pPr>
            <w:r>
              <w:rPr>
                <w:rFonts w:hint="eastAsia" w:cs="宋体"/>
                <w:color w:val="000000"/>
                <w:kern w:val="0"/>
                <w:sz w:val="20"/>
              </w:rPr>
              <w:t>1类激光器</w:t>
            </w:r>
          </w:p>
          <w:p>
            <w:pPr>
              <w:widowControl/>
              <w:jc w:val="left"/>
              <w:rPr>
                <w:rFonts w:cs="宋体"/>
                <w:color w:val="000000"/>
                <w:kern w:val="0"/>
                <w:sz w:val="20"/>
              </w:rPr>
            </w:pPr>
            <w:r>
              <w:rPr>
                <w:rFonts w:hint="eastAsia" w:cs="宋体"/>
                <w:color w:val="000000"/>
                <w:kern w:val="0"/>
                <w:sz w:val="20"/>
              </w:rPr>
              <w:t>符合 MSA SFP规范</w:t>
            </w:r>
          </w:p>
          <w:p>
            <w:pPr>
              <w:widowControl/>
              <w:jc w:val="left"/>
              <w:rPr>
                <w:rFonts w:cs="宋体"/>
                <w:color w:val="000000"/>
                <w:kern w:val="0"/>
                <w:sz w:val="20"/>
              </w:rPr>
            </w:pPr>
            <w:r>
              <w:rPr>
                <w:rFonts w:hint="eastAsia" w:cs="宋体"/>
                <w:color w:val="000000"/>
                <w:kern w:val="0"/>
                <w:sz w:val="20"/>
              </w:rPr>
              <w:t>符合 IEC60825-1标准</w:t>
            </w:r>
          </w:p>
          <w:p>
            <w:pPr>
              <w:widowControl/>
              <w:jc w:val="left"/>
              <w:rPr>
                <w:rFonts w:cs="宋体"/>
                <w:color w:val="000000"/>
                <w:kern w:val="0"/>
                <w:sz w:val="20"/>
              </w:rPr>
            </w:pPr>
            <w:r>
              <w:rPr>
                <w:rFonts w:hint="eastAsia" w:cs="宋体"/>
                <w:color w:val="000000"/>
                <w:kern w:val="0"/>
                <w:sz w:val="20"/>
              </w:rPr>
              <w:t>工作环境温度: 0℃～+70℃/-40℃～+85℃</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cs="宋体"/>
                <w:color w:val="000000"/>
                <w:kern w:val="0"/>
                <w:sz w:val="20"/>
              </w:rPr>
              <w:t>4</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尾纤</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LC-LC 20米</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cs="宋体"/>
                <w:color w:val="000000"/>
                <w:kern w:val="0"/>
                <w:sz w:val="20"/>
              </w:rPr>
              <w:t>5</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尾纤</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FC-LC 20米</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hint="eastAsia" w:cs="宋体"/>
                <w:color w:val="000000"/>
                <w:kern w:val="0"/>
                <w:sz w:val="20"/>
              </w:rPr>
              <w:t>6</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网络机柜</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网络机柜 600*1000*2000(宽*深*高mm）</w:t>
            </w:r>
          </w:p>
          <w:p>
            <w:pPr>
              <w:widowControl/>
              <w:jc w:val="left"/>
              <w:rPr>
                <w:rFonts w:cs="宋体"/>
                <w:color w:val="000000"/>
                <w:kern w:val="0"/>
                <w:sz w:val="20"/>
              </w:rPr>
            </w:pPr>
            <w:r>
              <w:rPr>
                <w:rFonts w:hint="eastAsia" w:cs="宋体"/>
                <w:color w:val="000000"/>
                <w:kern w:val="0"/>
                <w:sz w:val="20"/>
              </w:rPr>
              <w:t>1、拼装机柜，含前后门和机柜底板；</w:t>
            </w:r>
          </w:p>
          <w:p>
            <w:pPr>
              <w:widowControl/>
              <w:jc w:val="left"/>
              <w:rPr>
                <w:rFonts w:cs="宋体"/>
                <w:color w:val="000000"/>
                <w:kern w:val="0"/>
                <w:sz w:val="20"/>
              </w:rPr>
            </w:pPr>
            <w:r>
              <w:rPr>
                <w:rFonts w:hint="eastAsia" w:cs="宋体"/>
                <w:color w:val="000000"/>
                <w:kern w:val="0"/>
                <w:sz w:val="20"/>
              </w:rPr>
              <w:t>2、机柜框架采用冷轧钢板；</w:t>
            </w:r>
          </w:p>
          <w:p>
            <w:pPr>
              <w:widowControl/>
              <w:jc w:val="left"/>
              <w:rPr>
                <w:rFonts w:cs="宋体"/>
                <w:color w:val="000000"/>
                <w:kern w:val="0"/>
                <w:sz w:val="20"/>
              </w:rPr>
            </w:pPr>
            <w:r>
              <w:rPr>
                <w:rFonts w:hint="eastAsia" w:cs="宋体"/>
                <w:color w:val="000000"/>
                <w:kern w:val="0"/>
                <w:sz w:val="20"/>
              </w:rPr>
              <w:t>3、含层板、侧门、PDU及散热单元（含）；</w:t>
            </w:r>
          </w:p>
          <w:p>
            <w:pPr>
              <w:widowControl/>
              <w:jc w:val="left"/>
              <w:rPr>
                <w:rFonts w:cs="宋体"/>
                <w:color w:val="000000"/>
                <w:kern w:val="0"/>
                <w:sz w:val="20"/>
              </w:rPr>
            </w:pPr>
            <w:r>
              <w:rPr>
                <w:rFonts w:hint="eastAsia" w:cs="宋体"/>
                <w:color w:val="000000"/>
                <w:kern w:val="0"/>
                <w:sz w:val="20"/>
              </w:rPr>
              <w:t>4、黑色外观；</w:t>
            </w:r>
          </w:p>
          <w:p>
            <w:pPr>
              <w:widowControl/>
              <w:jc w:val="left"/>
              <w:rPr>
                <w:rFonts w:cs="宋体"/>
                <w:color w:val="000000"/>
                <w:kern w:val="0"/>
                <w:sz w:val="20"/>
              </w:rPr>
            </w:pPr>
            <w:r>
              <w:rPr>
                <w:rFonts w:hint="eastAsia" w:cs="宋体"/>
                <w:color w:val="000000"/>
                <w:kern w:val="0"/>
                <w:sz w:val="20"/>
              </w:rPr>
              <w:t>5、含并柜件1套；</w:t>
            </w:r>
          </w:p>
          <w:p>
            <w:pPr>
              <w:widowControl/>
              <w:jc w:val="left"/>
              <w:rPr>
                <w:rFonts w:cs="宋体"/>
                <w:color w:val="000000"/>
                <w:kern w:val="0"/>
                <w:sz w:val="20"/>
              </w:rPr>
            </w:pPr>
            <w:r>
              <w:rPr>
                <w:rFonts w:hint="eastAsia" w:cs="宋体"/>
                <w:color w:val="000000"/>
                <w:kern w:val="0"/>
                <w:sz w:val="20"/>
              </w:rPr>
              <w:t>6、含垂直绑线板两条；800款机柜含密封组件一套</w:t>
            </w:r>
          </w:p>
          <w:p>
            <w:pPr>
              <w:widowControl/>
              <w:jc w:val="left"/>
              <w:rPr>
                <w:rFonts w:cs="宋体"/>
                <w:color w:val="000000"/>
                <w:kern w:val="0"/>
                <w:sz w:val="20"/>
              </w:rPr>
            </w:pPr>
            <w:r>
              <w:rPr>
                <w:rFonts w:hint="eastAsia" w:cs="宋体"/>
                <w:color w:val="000000"/>
                <w:kern w:val="0"/>
                <w:sz w:val="20"/>
              </w:rPr>
              <w:t>7、含螺丝、螺母50套；</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hint="eastAsia" w:cs="宋体"/>
                <w:color w:val="000000"/>
                <w:kern w:val="0"/>
                <w:sz w:val="20"/>
              </w:rPr>
              <w:t>7</w:t>
            </w:r>
          </w:p>
        </w:tc>
        <w:tc>
          <w:tcPr>
            <w:tcW w:w="847" w:type="pct"/>
            <w:shd w:val="clear" w:color="auto" w:fill="auto"/>
            <w:vAlign w:val="center"/>
          </w:tcPr>
          <w:p>
            <w:pPr>
              <w:widowControl/>
              <w:jc w:val="center"/>
              <w:rPr>
                <w:rFonts w:cs="宋体"/>
                <w:color w:val="000000"/>
                <w:kern w:val="0"/>
                <w:sz w:val="20"/>
              </w:rPr>
            </w:pPr>
            <w:r>
              <w:rPr>
                <w:rFonts w:hint="eastAsia" w:cs="宋体"/>
                <w:kern w:val="0"/>
                <w:sz w:val="20"/>
              </w:rPr>
              <w:t>超六类非屏蔽4对双绞线</w:t>
            </w:r>
          </w:p>
        </w:tc>
        <w:tc>
          <w:tcPr>
            <w:tcW w:w="3045" w:type="pct"/>
            <w:shd w:val="clear" w:color="auto" w:fill="auto"/>
            <w:vAlign w:val="center"/>
          </w:tcPr>
          <w:p>
            <w:pPr>
              <w:widowControl/>
              <w:jc w:val="left"/>
              <w:rPr>
                <w:rFonts w:cs="宋体"/>
                <w:color w:val="000000"/>
                <w:kern w:val="0"/>
                <w:sz w:val="20"/>
              </w:rPr>
            </w:pPr>
            <w:r>
              <w:rPr>
                <w:rFonts w:hint="eastAsia" w:cs="宋体"/>
                <w:kern w:val="0"/>
                <w:sz w:val="20"/>
              </w:rPr>
              <w:t>国标</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bl>
    <w:p>
      <w:pPr>
        <w:pStyle w:val="15"/>
        <w:adjustRightInd w:val="0"/>
        <w:snapToGrid w:val="0"/>
        <w:spacing w:before="0" w:after="0" w:line="360" w:lineRule="auto"/>
        <w:ind w:firstLine="480" w:firstLineChars="200"/>
        <w:rPr>
          <w:rFonts w:ascii="Times New Roman" w:hAnsi="宋体" w:eastAsia="宋体"/>
          <w:sz w:val="24"/>
          <w:szCs w:val="24"/>
        </w:rPr>
      </w:pPr>
    </w:p>
    <w:p>
      <w:pPr>
        <w:pStyle w:val="15"/>
        <w:adjustRightInd w:val="0"/>
        <w:snapToGrid w:val="0"/>
        <w:spacing w:before="0" w:after="0" w:line="360" w:lineRule="auto"/>
        <w:ind w:firstLine="480" w:firstLineChars="200"/>
        <w:jc w:val="both"/>
        <w:rPr>
          <w:rFonts w:ascii="Times New Roman" w:eastAsia="宋体"/>
          <w:sz w:val="24"/>
          <w:szCs w:val="24"/>
        </w:rPr>
      </w:pPr>
    </w:p>
    <w:p>
      <w:pPr>
        <w:jc w:val="center"/>
        <w:rPr>
          <w:rFonts w:ascii="黑体" w:eastAsia="黑体"/>
        </w:rPr>
      </w:pPr>
    </w:p>
    <w:p>
      <w:pPr>
        <w:pStyle w:val="2"/>
        <w:adjustRightInd w:val="0"/>
        <w:snapToGrid w:val="0"/>
        <w:spacing w:before="0" w:after="0" w:line="360" w:lineRule="auto"/>
        <w:rPr>
          <w:bCs/>
          <w:snapToGrid w:val="0"/>
          <w:kern w:val="0"/>
          <w:sz w:val="24"/>
          <w:szCs w:val="24"/>
        </w:rPr>
      </w:pPr>
      <w:bookmarkStart w:id="224" w:name="_Toc247518078"/>
      <w:bookmarkStart w:id="225" w:name="_Toc345514943"/>
      <w:bookmarkStart w:id="226" w:name="_Toc252539437"/>
      <w:bookmarkStart w:id="227" w:name="_Toc103766763"/>
      <w:bookmarkStart w:id="228" w:name="_Toc247536312"/>
      <w:r>
        <w:rPr>
          <w:bCs/>
          <w:snapToGrid w:val="0"/>
          <w:kern w:val="0"/>
          <w:sz w:val="24"/>
          <w:szCs w:val="24"/>
        </w:rPr>
        <w:t xml:space="preserve">2  </w:t>
      </w:r>
      <w:r>
        <w:rPr>
          <w:rFonts w:hAnsi="宋体"/>
          <w:bCs/>
          <w:snapToGrid w:val="0"/>
          <w:kern w:val="0"/>
          <w:sz w:val="24"/>
          <w:szCs w:val="24"/>
        </w:rPr>
        <w:t>项目需求部分</w:t>
      </w:r>
      <w:bookmarkEnd w:id="224"/>
      <w:bookmarkEnd w:id="225"/>
      <w:bookmarkEnd w:id="226"/>
      <w:bookmarkEnd w:id="227"/>
      <w:bookmarkEnd w:id="228"/>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29" w:name="_Toc345514944"/>
      <w:bookmarkStart w:id="230" w:name="_Toc252539438"/>
      <w:bookmarkStart w:id="231" w:name="_Toc241652037"/>
      <w:bookmarkStart w:id="232" w:name="_Toc103766764"/>
      <w:bookmarkStart w:id="233" w:name="_Toc247536313"/>
      <w:r>
        <w:rPr>
          <w:b w:val="0"/>
          <w:bCs/>
          <w:snapToGrid w:val="0"/>
          <w:kern w:val="0"/>
          <w:sz w:val="24"/>
          <w:szCs w:val="24"/>
        </w:rPr>
        <w:t xml:space="preserve">2.1  </w:t>
      </w:r>
      <w:r>
        <w:rPr>
          <w:rFonts w:hAnsi="宋体"/>
          <w:b w:val="0"/>
          <w:bCs/>
          <w:snapToGrid w:val="0"/>
          <w:kern w:val="0"/>
          <w:sz w:val="24"/>
          <w:szCs w:val="24"/>
        </w:rPr>
        <w:t>货物需求及供货范围一览表</w:t>
      </w:r>
      <w:bookmarkEnd w:id="229"/>
      <w:bookmarkEnd w:id="230"/>
      <w:bookmarkEnd w:id="231"/>
      <w:bookmarkEnd w:id="232"/>
      <w:bookmarkEnd w:id="233"/>
      <w:bookmarkStart w:id="234" w:name="_Toc244071205"/>
    </w:p>
    <w:p>
      <w:pPr>
        <w:adjustRightInd w:val="0"/>
        <w:snapToGrid w:val="0"/>
        <w:spacing w:line="360" w:lineRule="auto"/>
        <w:ind w:firstLine="480" w:firstLineChars="200"/>
        <w:rPr>
          <w:rFonts w:hAnsi="宋体"/>
          <w:sz w:val="24"/>
          <w:szCs w:val="24"/>
        </w:rPr>
      </w:pPr>
      <w:r>
        <w:rPr>
          <w:rFonts w:hAnsi="宋体"/>
          <w:sz w:val="24"/>
          <w:szCs w:val="24"/>
        </w:rPr>
        <w:t>表</w:t>
      </w:r>
      <w:r>
        <w:rPr>
          <w:rFonts w:hint="eastAsia"/>
          <w:sz w:val="24"/>
          <w:szCs w:val="24"/>
        </w:rPr>
        <w:t>3</w:t>
      </w:r>
      <w:r>
        <w:rPr>
          <w:sz w:val="24"/>
          <w:szCs w:val="24"/>
        </w:rPr>
        <w:t xml:space="preserve">  </w:t>
      </w:r>
      <w:r>
        <w:rPr>
          <w:rFonts w:hint="eastAsia"/>
          <w:sz w:val="24"/>
          <w:szCs w:val="24"/>
        </w:rPr>
        <w:t xml:space="preserve">               </w:t>
      </w:r>
      <w:r>
        <w:rPr>
          <w:rFonts w:hAnsi="宋体"/>
          <w:sz w:val="24"/>
          <w:szCs w:val="24"/>
        </w:rPr>
        <w:t>货物需求及供货范围一览表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34"/>
        <w:gridCol w:w="1350"/>
        <w:gridCol w:w="2827"/>
        <w:gridCol w:w="701"/>
        <w:gridCol w:w="734"/>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6" w:hRule="exact"/>
          <w:jc w:val="center"/>
        </w:trPr>
        <w:tc>
          <w:tcPr>
            <w:tcW w:w="1134" w:type="dxa"/>
            <w:vAlign w:val="center"/>
          </w:tcPr>
          <w:p>
            <w:pPr>
              <w:jc w:val="center"/>
              <w:rPr>
                <w:rFonts w:ascii="宋体" w:hAnsi="宋体"/>
                <w:sz w:val="24"/>
              </w:rPr>
            </w:pPr>
            <w:r>
              <w:rPr>
                <w:rFonts w:hint="eastAsia" w:ascii="宋体" w:hAnsi="宋体"/>
                <w:sz w:val="24"/>
              </w:rPr>
              <w:t>材料编号</w:t>
            </w:r>
          </w:p>
        </w:tc>
        <w:tc>
          <w:tcPr>
            <w:tcW w:w="1350" w:type="dxa"/>
            <w:vAlign w:val="center"/>
          </w:tcPr>
          <w:p>
            <w:pPr>
              <w:jc w:val="center"/>
              <w:rPr>
                <w:rFonts w:ascii="宋体" w:hAnsi="宋体"/>
                <w:sz w:val="24"/>
              </w:rPr>
            </w:pPr>
            <w:r>
              <w:rPr>
                <w:rFonts w:hint="eastAsia" w:ascii="宋体" w:hAnsi="宋体"/>
                <w:sz w:val="24"/>
              </w:rPr>
              <w:t>物资名称</w:t>
            </w:r>
          </w:p>
        </w:tc>
        <w:tc>
          <w:tcPr>
            <w:tcW w:w="2827" w:type="dxa"/>
            <w:vAlign w:val="center"/>
          </w:tcPr>
          <w:p>
            <w:pPr>
              <w:ind w:firstLine="960" w:firstLineChars="400"/>
              <w:rPr>
                <w:rFonts w:ascii="宋体" w:hAnsi="宋体"/>
                <w:sz w:val="24"/>
              </w:rPr>
            </w:pPr>
            <w:r>
              <w:rPr>
                <w:rFonts w:hint="eastAsia" w:ascii="宋体" w:hAnsi="宋体"/>
                <w:sz w:val="24"/>
              </w:rPr>
              <w:t>规格型号</w:t>
            </w:r>
          </w:p>
        </w:tc>
        <w:tc>
          <w:tcPr>
            <w:tcW w:w="701" w:type="dxa"/>
            <w:vAlign w:val="center"/>
          </w:tcPr>
          <w:p>
            <w:pPr>
              <w:rPr>
                <w:rFonts w:ascii="宋体" w:hAnsi="宋体"/>
                <w:sz w:val="24"/>
              </w:rPr>
            </w:pPr>
            <w:r>
              <w:rPr>
                <w:rFonts w:hint="eastAsia" w:ascii="宋体" w:hAnsi="宋体"/>
                <w:sz w:val="24"/>
              </w:rPr>
              <w:t>单 位</w:t>
            </w:r>
          </w:p>
        </w:tc>
        <w:tc>
          <w:tcPr>
            <w:tcW w:w="734" w:type="dxa"/>
            <w:vAlign w:val="center"/>
          </w:tcPr>
          <w:p>
            <w:pPr>
              <w:rPr>
                <w:rFonts w:ascii="宋体" w:hAnsi="宋体"/>
                <w:sz w:val="24"/>
              </w:rPr>
            </w:pPr>
            <w:r>
              <w:rPr>
                <w:rFonts w:hint="eastAsia" w:ascii="宋体" w:hAnsi="宋体"/>
                <w:sz w:val="24"/>
              </w:rPr>
              <w:t>数 量</w:t>
            </w:r>
          </w:p>
        </w:tc>
        <w:tc>
          <w:tcPr>
            <w:tcW w:w="1716" w:type="dxa"/>
            <w:vAlign w:val="center"/>
          </w:tcPr>
          <w:p>
            <w:pPr>
              <w:ind w:firstLine="480" w:firstLineChars="200"/>
              <w:rPr>
                <w:rFonts w:ascii="宋体" w:hAnsi="宋体"/>
                <w:sz w:val="24"/>
              </w:rPr>
            </w:pPr>
            <w:r>
              <w:rPr>
                <w:rFonts w:hint="eastAsia"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1" w:hRule="atLeast"/>
          <w:jc w:val="center"/>
        </w:trPr>
        <w:tc>
          <w:tcPr>
            <w:tcW w:w="1134" w:type="dxa"/>
            <w:vAlign w:val="center"/>
          </w:tcPr>
          <w:p>
            <w:pPr>
              <w:widowControl/>
              <w:jc w:val="center"/>
              <w:rPr>
                <w:rFonts w:ascii="宋体" w:hAnsi="宋体"/>
                <w:sz w:val="24"/>
              </w:rPr>
            </w:pPr>
            <w:r>
              <w:rPr>
                <w:rFonts w:hint="eastAsia" w:cs="宋体"/>
                <w:color w:val="000000"/>
                <w:kern w:val="0"/>
                <w:sz w:val="20"/>
              </w:rPr>
              <w:t>1</w:t>
            </w:r>
          </w:p>
        </w:tc>
        <w:tc>
          <w:tcPr>
            <w:tcW w:w="1350" w:type="dxa"/>
            <w:vMerge w:val="restart"/>
            <w:vAlign w:val="center"/>
          </w:tcPr>
          <w:p>
            <w:pPr>
              <w:widowControl/>
              <w:jc w:val="center"/>
              <w:rPr>
                <w:rFonts w:ascii="宋体" w:hAnsi="宋体"/>
                <w:sz w:val="24"/>
              </w:rPr>
            </w:pPr>
            <w:r>
              <w:rPr>
                <w:rFonts w:hint="eastAsia" w:cs="宋体"/>
                <w:color w:val="000000"/>
                <w:kern w:val="0"/>
                <w:sz w:val="20"/>
              </w:rPr>
              <w:t>核心交换机</w:t>
            </w:r>
          </w:p>
        </w:tc>
        <w:tc>
          <w:tcPr>
            <w:tcW w:w="2827" w:type="dxa"/>
            <w:vAlign w:val="center"/>
          </w:tcPr>
          <w:p>
            <w:pPr>
              <w:jc w:val="center"/>
              <w:rPr>
                <w:rFonts w:ascii="宋体" w:hAnsi="宋体"/>
                <w:sz w:val="24"/>
              </w:rPr>
            </w:pPr>
            <w:r>
              <w:rPr>
                <w:rFonts w:hint="eastAsia" w:cs="宋体"/>
                <w:color w:val="000000"/>
                <w:kern w:val="0"/>
                <w:sz w:val="20"/>
              </w:rPr>
              <w:t>核心交换机</w:t>
            </w:r>
          </w:p>
        </w:tc>
        <w:tc>
          <w:tcPr>
            <w:tcW w:w="701" w:type="dxa"/>
            <w:vAlign w:val="center"/>
          </w:tcPr>
          <w:p>
            <w:pPr>
              <w:widowControl/>
              <w:jc w:val="center"/>
              <w:rPr>
                <w:rFonts w:ascii="宋体" w:hAnsi="宋体"/>
                <w:sz w:val="24"/>
              </w:rPr>
            </w:pPr>
            <w:r>
              <w:rPr>
                <w:rFonts w:hint="eastAsia" w:cs="宋体"/>
                <w:color w:val="000000"/>
                <w:kern w:val="0"/>
                <w:sz w:val="20"/>
              </w:rPr>
              <w:t>台</w:t>
            </w:r>
          </w:p>
        </w:tc>
        <w:tc>
          <w:tcPr>
            <w:tcW w:w="734" w:type="dxa"/>
            <w:vAlign w:val="center"/>
          </w:tcPr>
          <w:p>
            <w:pPr>
              <w:widowControl/>
              <w:jc w:val="center"/>
              <w:rPr>
                <w:rFonts w:ascii="宋体" w:hAnsi="宋体"/>
                <w:sz w:val="24"/>
              </w:rPr>
            </w:pPr>
            <w:r>
              <w:rPr>
                <w:rFonts w:hint="eastAsia" w:cs="宋体"/>
                <w:color w:val="000000"/>
                <w:kern w:val="0"/>
                <w:sz w:val="20"/>
              </w:rPr>
              <w:t>1</w:t>
            </w:r>
          </w:p>
        </w:tc>
        <w:tc>
          <w:tcPr>
            <w:tcW w:w="1716" w:type="dxa"/>
            <w:vAlign w:val="center"/>
          </w:tcPr>
          <w:p>
            <w:pPr>
              <w:jc w:val="left"/>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6" w:hRule="atLeast"/>
          <w:jc w:val="center"/>
        </w:trPr>
        <w:tc>
          <w:tcPr>
            <w:tcW w:w="1134" w:type="dxa"/>
            <w:vAlign w:val="center"/>
          </w:tcPr>
          <w:p>
            <w:pPr>
              <w:widowControl/>
              <w:jc w:val="center"/>
              <w:rPr>
                <w:rFonts w:ascii="宋体" w:hAnsi="宋体"/>
                <w:sz w:val="24"/>
              </w:rPr>
            </w:pPr>
            <w:r>
              <w:rPr>
                <w:rFonts w:cs="宋体"/>
                <w:color w:val="000000"/>
                <w:kern w:val="0"/>
                <w:sz w:val="20"/>
              </w:rPr>
              <w:t>2</w:t>
            </w:r>
          </w:p>
        </w:tc>
        <w:tc>
          <w:tcPr>
            <w:tcW w:w="1350" w:type="dxa"/>
            <w:vMerge w:val="continue"/>
            <w:vAlign w:val="center"/>
          </w:tcPr>
          <w:p>
            <w:pPr>
              <w:widowControl/>
              <w:jc w:val="center"/>
              <w:rPr>
                <w:rFonts w:ascii="宋体" w:hAnsi="宋体"/>
                <w:sz w:val="24"/>
              </w:rPr>
            </w:pPr>
          </w:p>
        </w:tc>
        <w:tc>
          <w:tcPr>
            <w:tcW w:w="2827" w:type="dxa"/>
            <w:vAlign w:val="center"/>
          </w:tcPr>
          <w:p>
            <w:pPr>
              <w:widowControl/>
              <w:jc w:val="center"/>
              <w:rPr>
                <w:rFonts w:ascii="宋体" w:hAnsi="宋体"/>
                <w:sz w:val="24"/>
              </w:rPr>
            </w:pPr>
            <w:r>
              <w:rPr>
                <w:rFonts w:hint="eastAsia" w:cs="宋体"/>
                <w:color w:val="000000"/>
                <w:kern w:val="0"/>
                <w:sz w:val="20"/>
              </w:rPr>
              <w:t>单模光模块</w:t>
            </w:r>
          </w:p>
        </w:tc>
        <w:tc>
          <w:tcPr>
            <w:tcW w:w="701" w:type="dxa"/>
            <w:vAlign w:val="center"/>
          </w:tcPr>
          <w:p>
            <w:pPr>
              <w:widowControl/>
              <w:jc w:val="center"/>
              <w:rPr>
                <w:rFonts w:ascii="宋体" w:hAnsi="宋体"/>
                <w:sz w:val="24"/>
              </w:rPr>
            </w:pPr>
            <w:r>
              <w:rPr>
                <w:rFonts w:hint="eastAsia" w:cs="宋体"/>
                <w:color w:val="000000"/>
                <w:kern w:val="0"/>
                <w:sz w:val="20"/>
              </w:rPr>
              <w:t>块</w:t>
            </w:r>
          </w:p>
        </w:tc>
        <w:tc>
          <w:tcPr>
            <w:tcW w:w="734" w:type="dxa"/>
            <w:vAlign w:val="center"/>
          </w:tcPr>
          <w:p>
            <w:pPr>
              <w:widowControl/>
              <w:jc w:val="center"/>
              <w:rPr>
                <w:rFonts w:ascii="宋体" w:hAnsi="宋体"/>
                <w:sz w:val="24"/>
              </w:rPr>
            </w:pPr>
            <w:r>
              <w:rPr>
                <w:rFonts w:cs="宋体"/>
                <w:color w:val="000000"/>
                <w:kern w:val="0"/>
                <w:sz w:val="20"/>
              </w:rPr>
              <w:t>2</w:t>
            </w:r>
          </w:p>
        </w:tc>
        <w:tc>
          <w:tcPr>
            <w:tcW w:w="1716"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ascii="宋体" w:hAnsi="宋体"/>
                <w:sz w:val="24"/>
              </w:rPr>
            </w:pPr>
            <w:r>
              <w:rPr>
                <w:rFonts w:cs="宋体"/>
                <w:color w:val="000000"/>
                <w:kern w:val="0"/>
                <w:sz w:val="20"/>
              </w:rPr>
              <w:t>3</w:t>
            </w:r>
          </w:p>
        </w:tc>
        <w:tc>
          <w:tcPr>
            <w:tcW w:w="1350" w:type="dxa"/>
            <w:vMerge w:val="continue"/>
            <w:vAlign w:val="center"/>
          </w:tcPr>
          <w:p>
            <w:pPr>
              <w:widowControl/>
              <w:jc w:val="center"/>
              <w:rPr>
                <w:rFonts w:ascii="宋体" w:hAnsi="宋体"/>
                <w:sz w:val="24"/>
              </w:rPr>
            </w:pPr>
          </w:p>
        </w:tc>
        <w:tc>
          <w:tcPr>
            <w:tcW w:w="2827" w:type="dxa"/>
            <w:vAlign w:val="center"/>
          </w:tcPr>
          <w:p>
            <w:pPr>
              <w:widowControl/>
              <w:jc w:val="center"/>
              <w:rPr>
                <w:rFonts w:ascii="宋体" w:hAnsi="宋体"/>
                <w:sz w:val="24"/>
              </w:rPr>
            </w:pPr>
            <w:r>
              <w:rPr>
                <w:rFonts w:hint="eastAsia" w:cs="宋体"/>
                <w:color w:val="000000"/>
                <w:kern w:val="0"/>
                <w:sz w:val="20"/>
              </w:rPr>
              <w:t>多模光模块</w:t>
            </w:r>
          </w:p>
        </w:tc>
        <w:tc>
          <w:tcPr>
            <w:tcW w:w="701" w:type="dxa"/>
            <w:vAlign w:val="center"/>
          </w:tcPr>
          <w:p>
            <w:pPr>
              <w:widowControl/>
              <w:jc w:val="center"/>
              <w:rPr>
                <w:rFonts w:ascii="宋体" w:hAnsi="宋体"/>
                <w:sz w:val="24"/>
              </w:rPr>
            </w:pPr>
            <w:r>
              <w:rPr>
                <w:rFonts w:hint="eastAsia" w:cs="宋体"/>
                <w:color w:val="000000"/>
                <w:kern w:val="0"/>
                <w:sz w:val="20"/>
              </w:rPr>
              <w:t>块</w:t>
            </w:r>
          </w:p>
        </w:tc>
        <w:tc>
          <w:tcPr>
            <w:tcW w:w="734" w:type="dxa"/>
            <w:vAlign w:val="center"/>
          </w:tcPr>
          <w:p>
            <w:pPr>
              <w:widowControl/>
              <w:jc w:val="center"/>
              <w:rPr>
                <w:rFonts w:ascii="宋体" w:hAnsi="宋体"/>
                <w:sz w:val="24"/>
              </w:rPr>
            </w:pPr>
            <w:r>
              <w:rPr>
                <w:rFonts w:hint="eastAsia" w:cs="宋体"/>
                <w:color w:val="000000"/>
                <w:kern w:val="0"/>
                <w:sz w:val="20"/>
              </w:rPr>
              <w:t>10</w:t>
            </w:r>
          </w:p>
        </w:tc>
        <w:tc>
          <w:tcPr>
            <w:tcW w:w="1716"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cs="宋体"/>
                <w:color w:val="000000"/>
                <w:kern w:val="0"/>
                <w:sz w:val="20"/>
              </w:rPr>
            </w:pPr>
            <w:r>
              <w:rPr>
                <w:rFonts w:cs="宋体"/>
                <w:color w:val="000000"/>
                <w:kern w:val="0"/>
                <w:sz w:val="20"/>
              </w:rPr>
              <w:t>4</w:t>
            </w:r>
          </w:p>
        </w:tc>
        <w:tc>
          <w:tcPr>
            <w:tcW w:w="1350" w:type="dxa"/>
            <w:vMerge w:val="continue"/>
            <w:vAlign w:val="center"/>
          </w:tcPr>
          <w:p>
            <w:pPr>
              <w:widowControl/>
              <w:jc w:val="center"/>
              <w:rPr>
                <w:rFonts w:ascii="宋体" w:hAnsi="宋体"/>
                <w:sz w:val="24"/>
              </w:rPr>
            </w:pPr>
          </w:p>
        </w:tc>
        <w:tc>
          <w:tcPr>
            <w:tcW w:w="2827" w:type="dxa"/>
            <w:vAlign w:val="center"/>
          </w:tcPr>
          <w:p>
            <w:pPr>
              <w:widowControl/>
              <w:jc w:val="center"/>
              <w:rPr>
                <w:rFonts w:ascii="宋体" w:hAnsi="宋体"/>
                <w:sz w:val="24"/>
              </w:rPr>
            </w:pPr>
            <w:r>
              <w:rPr>
                <w:rFonts w:hint="eastAsia" w:cs="宋体"/>
                <w:color w:val="000000"/>
                <w:kern w:val="0"/>
                <w:sz w:val="20"/>
              </w:rPr>
              <w:t>尾纤（LC-LC 20米）</w:t>
            </w:r>
          </w:p>
        </w:tc>
        <w:tc>
          <w:tcPr>
            <w:tcW w:w="701" w:type="dxa"/>
            <w:vAlign w:val="center"/>
          </w:tcPr>
          <w:p>
            <w:pPr>
              <w:widowControl/>
              <w:jc w:val="center"/>
              <w:rPr>
                <w:rFonts w:ascii="宋体" w:hAnsi="宋体"/>
                <w:sz w:val="24"/>
              </w:rPr>
            </w:pPr>
            <w:r>
              <w:rPr>
                <w:rFonts w:hint="eastAsia" w:cs="宋体"/>
                <w:color w:val="000000"/>
                <w:kern w:val="0"/>
                <w:sz w:val="20"/>
              </w:rPr>
              <w:t>条</w:t>
            </w:r>
          </w:p>
        </w:tc>
        <w:tc>
          <w:tcPr>
            <w:tcW w:w="734" w:type="dxa"/>
            <w:vAlign w:val="center"/>
          </w:tcPr>
          <w:p>
            <w:pPr>
              <w:widowControl/>
              <w:jc w:val="center"/>
              <w:rPr>
                <w:rFonts w:ascii="宋体" w:hAnsi="宋体"/>
                <w:sz w:val="24"/>
              </w:rPr>
            </w:pPr>
            <w:r>
              <w:rPr>
                <w:rFonts w:cs="宋体"/>
                <w:color w:val="000000"/>
                <w:kern w:val="0"/>
                <w:sz w:val="20"/>
              </w:rPr>
              <w:t>2</w:t>
            </w:r>
          </w:p>
        </w:tc>
        <w:tc>
          <w:tcPr>
            <w:tcW w:w="1716"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cs="宋体"/>
                <w:color w:val="000000"/>
                <w:kern w:val="0"/>
                <w:sz w:val="20"/>
              </w:rPr>
            </w:pPr>
            <w:r>
              <w:rPr>
                <w:rFonts w:cs="宋体"/>
                <w:color w:val="000000"/>
                <w:kern w:val="0"/>
                <w:sz w:val="20"/>
              </w:rPr>
              <w:t>5</w:t>
            </w:r>
          </w:p>
        </w:tc>
        <w:tc>
          <w:tcPr>
            <w:tcW w:w="1350" w:type="dxa"/>
            <w:vMerge w:val="continue"/>
            <w:vAlign w:val="center"/>
          </w:tcPr>
          <w:p>
            <w:pPr>
              <w:widowControl/>
              <w:jc w:val="center"/>
              <w:rPr>
                <w:rFonts w:ascii="宋体" w:hAnsi="宋体"/>
                <w:sz w:val="24"/>
              </w:rPr>
            </w:pPr>
          </w:p>
        </w:tc>
        <w:tc>
          <w:tcPr>
            <w:tcW w:w="2827" w:type="dxa"/>
            <w:vAlign w:val="center"/>
          </w:tcPr>
          <w:p>
            <w:pPr>
              <w:jc w:val="center"/>
              <w:rPr>
                <w:rFonts w:ascii="宋体" w:hAnsi="宋体"/>
                <w:sz w:val="24"/>
              </w:rPr>
            </w:pPr>
            <w:r>
              <w:rPr>
                <w:rFonts w:hint="eastAsia" w:cs="宋体"/>
                <w:color w:val="000000"/>
                <w:kern w:val="0"/>
                <w:sz w:val="20"/>
              </w:rPr>
              <w:t>尾纤（FC-LC 20米）</w:t>
            </w:r>
          </w:p>
        </w:tc>
        <w:tc>
          <w:tcPr>
            <w:tcW w:w="701" w:type="dxa"/>
            <w:vAlign w:val="center"/>
          </w:tcPr>
          <w:p>
            <w:pPr>
              <w:widowControl/>
              <w:jc w:val="center"/>
              <w:rPr>
                <w:rFonts w:ascii="宋体" w:hAnsi="宋体"/>
                <w:sz w:val="24"/>
              </w:rPr>
            </w:pPr>
            <w:r>
              <w:rPr>
                <w:rFonts w:hint="eastAsia" w:cs="宋体"/>
                <w:color w:val="000000"/>
                <w:kern w:val="0"/>
                <w:sz w:val="20"/>
              </w:rPr>
              <w:t>条</w:t>
            </w:r>
          </w:p>
        </w:tc>
        <w:tc>
          <w:tcPr>
            <w:tcW w:w="734" w:type="dxa"/>
            <w:vAlign w:val="center"/>
          </w:tcPr>
          <w:p>
            <w:pPr>
              <w:widowControl/>
              <w:jc w:val="center"/>
              <w:rPr>
                <w:rFonts w:ascii="宋体" w:hAnsi="宋体"/>
                <w:sz w:val="24"/>
              </w:rPr>
            </w:pPr>
            <w:r>
              <w:rPr>
                <w:rFonts w:hint="eastAsia" w:cs="宋体"/>
                <w:color w:val="000000"/>
                <w:kern w:val="0"/>
                <w:sz w:val="20"/>
              </w:rPr>
              <w:t>32</w:t>
            </w:r>
          </w:p>
        </w:tc>
        <w:tc>
          <w:tcPr>
            <w:tcW w:w="1716"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cs="宋体"/>
                <w:color w:val="000000"/>
                <w:kern w:val="0"/>
                <w:sz w:val="20"/>
              </w:rPr>
            </w:pPr>
            <w:r>
              <w:rPr>
                <w:rFonts w:cs="宋体"/>
                <w:color w:val="000000"/>
                <w:kern w:val="0"/>
                <w:sz w:val="20"/>
              </w:rPr>
              <w:t>6</w:t>
            </w:r>
          </w:p>
        </w:tc>
        <w:tc>
          <w:tcPr>
            <w:tcW w:w="1350" w:type="dxa"/>
            <w:vMerge w:val="continue"/>
            <w:vAlign w:val="center"/>
          </w:tcPr>
          <w:p>
            <w:pPr>
              <w:widowControl/>
              <w:jc w:val="center"/>
              <w:rPr>
                <w:rFonts w:ascii="宋体" w:hAnsi="宋体"/>
                <w:sz w:val="24"/>
              </w:rPr>
            </w:pPr>
          </w:p>
        </w:tc>
        <w:tc>
          <w:tcPr>
            <w:tcW w:w="2827" w:type="dxa"/>
            <w:vAlign w:val="center"/>
          </w:tcPr>
          <w:p>
            <w:pPr>
              <w:jc w:val="center"/>
              <w:rPr>
                <w:rFonts w:ascii="宋体" w:hAnsi="宋体"/>
                <w:sz w:val="24"/>
              </w:rPr>
            </w:pPr>
            <w:r>
              <w:rPr>
                <w:rFonts w:hint="eastAsia" w:cs="宋体"/>
                <w:color w:val="000000"/>
                <w:kern w:val="0"/>
                <w:sz w:val="20"/>
              </w:rPr>
              <w:t>网络机柜600*1000*2000(宽*深*高mm）</w:t>
            </w:r>
          </w:p>
        </w:tc>
        <w:tc>
          <w:tcPr>
            <w:tcW w:w="701" w:type="dxa"/>
            <w:vAlign w:val="center"/>
          </w:tcPr>
          <w:p>
            <w:pPr>
              <w:widowControl/>
              <w:jc w:val="center"/>
              <w:rPr>
                <w:rFonts w:ascii="宋体" w:hAnsi="宋体"/>
                <w:sz w:val="24"/>
              </w:rPr>
            </w:pPr>
            <w:r>
              <w:rPr>
                <w:rFonts w:hint="eastAsia" w:cs="宋体"/>
                <w:color w:val="000000"/>
                <w:kern w:val="0"/>
                <w:sz w:val="20"/>
              </w:rPr>
              <w:t>台</w:t>
            </w:r>
          </w:p>
        </w:tc>
        <w:tc>
          <w:tcPr>
            <w:tcW w:w="734" w:type="dxa"/>
            <w:vAlign w:val="center"/>
          </w:tcPr>
          <w:p>
            <w:pPr>
              <w:widowControl/>
              <w:jc w:val="center"/>
              <w:rPr>
                <w:rFonts w:ascii="宋体" w:hAnsi="宋体"/>
                <w:sz w:val="24"/>
              </w:rPr>
            </w:pPr>
            <w:r>
              <w:rPr>
                <w:rFonts w:hint="eastAsia" w:cs="宋体"/>
                <w:color w:val="000000"/>
                <w:kern w:val="0"/>
                <w:sz w:val="20"/>
              </w:rPr>
              <w:t xml:space="preserve">1 </w:t>
            </w:r>
          </w:p>
        </w:tc>
        <w:tc>
          <w:tcPr>
            <w:tcW w:w="1716"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cs="宋体"/>
                <w:color w:val="000000"/>
                <w:kern w:val="0"/>
                <w:sz w:val="20"/>
              </w:rPr>
            </w:pPr>
            <w:r>
              <w:rPr>
                <w:rFonts w:cs="宋体"/>
                <w:color w:val="000000"/>
                <w:kern w:val="0"/>
                <w:sz w:val="20"/>
              </w:rPr>
              <w:t>7</w:t>
            </w:r>
          </w:p>
        </w:tc>
        <w:tc>
          <w:tcPr>
            <w:tcW w:w="1350" w:type="dxa"/>
            <w:vMerge w:val="continue"/>
            <w:vAlign w:val="center"/>
          </w:tcPr>
          <w:p>
            <w:pPr>
              <w:widowControl/>
              <w:jc w:val="center"/>
              <w:rPr>
                <w:rFonts w:ascii="宋体" w:hAnsi="宋体"/>
                <w:sz w:val="24"/>
              </w:rPr>
            </w:pPr>
          </w:p>
        </w:tc>
        <w:tc>
          <w:tcPr>
            <w:tcW w:w="2827" w:type="dxa"/>
            <w:vAlign w:val="center"/>
          </w:tcPr>
          <w:p>
            <w:pPr>
              <w:jc w:val="center"/>
              <w:rPr>
                <w:rFonts w:ascii="宋体" w:hAnsi="宋体"/>
                <w:sz w:val="24"/>
              </w:rPr>
            </w:pPr>
            <w:r>
              <w:rPr>
                <w:rFonts w:hint="eastAsia" w:cs="宋体"/>
                <w:kern w:val="0"/>
                <w:sz w:val="20"/>
              </w:rPr>
              <w:t>超六类非屏蔽4对双绞线</w:t>
            </w:r>
          </w:p>
        </w:tc>
        <w:tc>
          <w:tcPr>
            <w:tcW w:w="701" w:type="dxa"/>
            <w:vAlign w:val="center"/>
          </w:tcPr>
          <w:p>
            <w:pPr>
              <w:widowControl/>
              <w:jc w:val="center"/>
              <w:rPr>
                <w:rFonts w:ascii="宋体" w:hAnsi="宋体"/>
                <w:sz w:val="24"/>
              </w:rPr>
            </w:pPr>
            <w:r>
              <w:rPr>
                <w:rFonts w:hint="eastAsia" w:cs="宋体"/>
                <w:color w:val="000000"/>
                <w:kern w:val="0"/>
                <w:sz w:val="20"/>
              </w:rPr>
              <w:t>米</w:t>
            </w:r>
          </w:p>
        </w:tc>
        <w:tc>
          <w:tcPr>
            <w:tcW w:w="734" w:type="dxa"/>
            <w:vAlign w:val="center"/>
          </w:tcPr>
          <w:p>
            <w:pPr>
              <w:widowControl/>
              <w:jc w:val="center"/>
              <w:rPr>
                <w:rFonts w:ascii="宋体" w:hAnsi="宋体"/>
                <w:sz w:val="24"/>
              </w:rPr>
            </w:pPr>
            <w:r>
              <w:rPr>
                <w:rFonts w:hint="eastAsia" w:cs="宋体"/>
                <w:kern w:val="0"/>
                <w:sz w:val="20"/>
              </w:rPr>
              <w:t>300</w:t>
            </w:r>
          </w:p>
        </w:tc>
        <w:tc>
          <w:tcPr>
            <w:tcW w:w="1716" w:type="dxa"/>
            <w:vAlign w:val="center"/>
          </w:tcPr>
          <w:p>
            <w:pPr>
              <w:widowControl/>
              <w:jc w:val="center"/>
              <w:rPr>
                <w:rFonts w:ascii="宋体" w:hAnsi="宋体"/>
                <w:sz w:val="24"/>
              </w:rPr>
            </w:pPr>
          </w:p>
        </w:tc>
      </w:tr>
    </w:tbl>
    <w:p>
      <w:pPr>
        <w:adjustRightInd w:val="0"/>
        <w:snapToGrid w:val="0"/>
        <w:spacing w:line="360" w:lineRule="auto"/>
        <w:ind w:firstLine="480" w:firstLineChars="200"/>
        <w:rPr>
          <w:rFonts w:hAnsi="宋体"/>
          <w:sz w:val="24"/>
          <w:szCs w:val="24"/>
        </w:rPr>
      </w:pP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35" w:name="_Toc252539439"/>
      <w:bookmarkStart w:id="236" w:name="_Toc345514945"/>
      <w:bookmarkStart w:id="237" w:name="_Toc103766765"/>
      <w:bookmarkStart w:id="238" w:name="_Toc247536314"/>
      <w:bookmarkStart w:id="239" w:name="_Toc241652038"/>
      <w:r>
        <w:rPr>
          <w:b w:val="0"/>
          <w:bCs/>
          <w:snapToGrid w:val="0"/>
          <w:kern w:val="0"/>
          <w:sz w:val="24"/>
          <w:szCs w:val="24"/>
        </w:rPr>
        <w:t xml:space="preserve">2.2  </w:t>
      </w:r>
      <w:r>
        <w:rPr>
          <w:rFonts w:hAnsi="宋体"/>
          <w:b w:val="0"/>
          <w:bCs/>
          <w:snapToGrid w:val="0"/>
          <w:kern w:val="0"/>
          <w:sz w:val="24"/>
          <w:szCs w:val="24"/>
        </w:rPr>
        <w:t>必备的备品备件、专用工具和仪器仪表供货表</w:t>
      </w:r>
      <w:bookmarkEnd w:id="235"/>
      <w:bookmarkEnd w:id="236"/>
      <w:bookmarkEnd w:id="237"/>
      <w:bookmarkEnd w:id="238"/>
      <w:bookmarkEnd w:id="239"/>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4</w:t>
      </w:r>
      <w:r>
        <w:rPr>
          <w:rFonts w:hAnsi="宋体"/>
          <w:sz w:val="24"/>
          <w:szCs w:val="24"/>
        </w:rPr>
        <w:t>　</w:t>
      </w:r>
      <w:r>
        <w:rPr>
          <w:rFonts w:hint="eastAsia" w:hAnsi="宋体"/>
          <w:sz w:val="24"/>
          <w:szCs w:val="24"/>
        </w:rPr>
        <w:t xml:space="preserve">         </w:t>
      </w:r>
      <w:r>
        <w:rPr>
          <w:rFonts w:hAnsi="宋体"/>
          <w:sz w:val="24"/>
          <w:szCs w:val="24"/>
        </w:rPr>
        <w:t>必备的备品备件、专用工具和仪器仪表供货表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78"/>
        <w:gridCol w:w="2439"/>
        <w:gridCol w:w="1598"/>
        <w:gridCol w:w="1225"/>
        <w:gridCol w:w="836"/>
        <w:gridCol w:w="1172"/>
        <w:gridCol w:w="8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Merge w:val="restart"/>
            <w:vAlign w:val="center"/>
          </w:tcPr>
          <w:p>
            <w:pPr>
              <w:topLinePunct/>
              <w:jc w:val="center"/>
              <w:rPr>
                <w:szCs w:val="21"/>
              </w:rPr>
            </w:pPr>
            <w:r>
              <w:rPr>
                <w:rFonts w:hAnsi="宋体"/>
                <w:szCs w:val="21"/>
              </w:rPr>
              <w:t>序号</w:t>
            </w:r>
          </w:p>
        </w:tc>
        <w:tc>
          <w:tcPr>
            <w:tcW w:w="2439" w:type="dxa"/>
            <w:vMerge w:val="restart"/>
            <w:vAlign w:val="center"/>
          </w:tcPr>
          <w:p>
            <w:pPr>
              <w:topLinePunct/>
              <w:jc w:val="center"/>
              <w:rPr>
                <w:szCs w:val="21"/>
              </w:rPr>
            </w:pPr>
            <w:r>
              <w:rPr>
                <w:rFonts w:hAnsi="宋体"/>
                <w:szCs w:val="21"/>
              </w:rPr>
              <w:t>名</w:t>
            </w:r>
            <w:r>
              <w:rPr>
                <w:szCs w:val="21"/>
              </w:rPr>
              <w:t xml:space="preserve">  </w:t>
            </w:r>
            <w:r>
              <w:rPr>
                <w:rFonts w:hAnsi="宋体"/>
                <w:szCs w:val="21"/>
              </w:rPr>
              <w:t>称</w:t>
            </w:r>
          </w:p>
        </w:tc>
        <w:tc>
          <w:tcPr>
            <w:tcW w:w="1598" w:type="dxa"/>
            <w:vMerge w:val="restart"/>
            <w:vAlign w:val="center"/>
          </w:tcPr>
          <w:p>
            <w:pPr>
              <w:topLinePunct/>
              <w:jc w:val="center"/>
              <w:rPr>
                <w:szCs w:val="21"/>
              </w:rPr>
            </w:pPr>
            <w:r>
              <w:rPr>
                <w:rFonts w:hAnsi="宋体"/>
                <w:szCs w:val="21"/>
              </w:rPr>
              <w:t>单</w:t>
            </w:r>
            <w:r>
              <w:rPr>
                <w:szCs w:val="21"/>
              </w:rPr>
              <w:t xml:space="preserve"> </w:t>
            </w:r>
            <w:r>
              <w:rPr>
                <w:rFonts w:hAnsi="宋体"/>
                <w:szCs w:val="21"/>
              </w:rPr>
              <w:t>位</w:t>
            </w:r>
          </w:p>
        </w:tc>
        <w:tc>
          <w:tcPr>
            <w:tcW w:w="2061" w:type="dxa"/>
            <w:gridSpan w:val="2"/>
            <w:vAlign w:val="center"/>
          </w:tcPr>
          <w:p>
            <w:pPr>
              <w:topLinePunct/>
              <w:jc w:val="center"/>
              <w:rPr>
                <w:kern w:val="0"/>
                <w:szCs w:val="21"/>
              </w:rPr>
            </w:pPr>
            <w:r>
              <w:rPr>
                <w:rFonts w:hAnsi="宋体"/>
                <w:szCs w:val="21"/>
              </w:rPr>
              <w:t>招标人要求</w:t>
            </w:r>
          </w:p>
        </w:tc>
        <w:tc>
          <w:tcPr>
            <w:tcW w:w="1996" w:type="dxa"/>
            <w:gridSpan w:val="2"/>
            <w:vAlign w:val="center"/>
          </w:tcPr>
          <w:p>
            <w:pPr>
              <w:topLinePunct/>
              <w:jc w:val="center"/>
              <w:rPr>
                <w:kern w:val="0"/>
                <w:szCs w:val="21"/>
              </w:rPr>
            </w:pPr>
            <w:r>
              <w:rPr>
                <w:rFonts w:hAnsi="宋体"/>
                <w:szCs w:val="21"/>
              </w:rPr>
              <w:t>投标人响应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Merge w:val="continue"/>
            <w:vAlign w:val="center"/>
          </w:tcPr>
          <w:p>
            <w:pPr>
              <w:topLinePunct/>
              <w:jc w:val="center"/>
              <w:rPr>
                <w:szCs w:val="21"/>
              </w:rPr>
            </w:pPr>
          </w:p>
        </w:tc>
        <w:tc>
          <w:tcPr>
            <w:tcW w:w="2439" w:type="dxa"/>
            <w:vMerge w:val="continue"/>
            <w:vAlign w:val="center"/>
          </w:tcPr>
          <w:p>
            <w:pPr>
              <w:topLinePunct/>
              <w:jc w:val="center"/>
              <w:rPr>
                <w:szCs w:val="21"/>
              </w:rPr>
            </w:pPr>
          </w:p>
        </w:tc>
        <w:tc>
          <w:tcPr>
            <w:tcW w:w="1598" w:type="dxa"/>
            <w:vMerge w:val="continue"/>
            <w:vAlign w:val="center"/>
          </w:tcPr>
          <w:p>
            <w:pPr>
              <w:topLinePunct/>
              <w:jc w:val="center"/>
              <w:rPr>
                <w:szCs w:val="21"/>
              </w:rPr>
            </w:pPr>
          </w:p>
        </w:tc>
        <w:tc>
          <w:tcPr>
            <w:tcW w:w="1225" w:type="dxa"/>
            <w:vAlign w:val="center"/>
          </w:tcPr>
          <w:p>
            <w:pPr>
              <w:topLinePunct/>
              <w:jc w:val="center"/>
              <w:rPr>
                <w:szCs w:val="21"/>
              </w:rPr>
            </w:pPr>
            <w:r>
              <w:rPr>
                <w:rFonts w:hAnsi="宋体"/>
                <w:szCs w:val="21"/>
              </w:rPr>
              <w:t>型号和规格</w:t>
            </w:r>
          </w:p>
        </w:tc>
        <w:tc>
          <w:tcPr>
            <w:tcW w:w="836" w:type="dxa"/>
            <w:vAlign w:val="center"/>
          </w:tcPr>
          <w:p>
            <w:pPr>
              <w:topLinePunct/>
              <w:jc w:val="center"/>
              <w:rPr>
                <w:szCs w:val="21"/>
              </w:rPr>
            </w:pPr>
            <w:r>
              <w:rPr>
                <w:rFonts w:hAnsi="宋体"/>
                <w:szCs w:val="21"/>
              </w:rPr>
              <w:t>数量</w:t>
            </w:r>
          </w:p>
        </w:tc>
        <w:tc>
          <w:tcPr>
            <w:tcW w:w="1172" w:type="dxa"/>
            <w:vAlign w:val="center"/>
          </w:tcPr>
          <w:p>
            <w:pPr>
              <w:topLinePunct/>
              <w:jc w:val="center"/>
              <w:rPr>
                <w:szCs w:val="21"/>
              </w:rPr>
            </w:pPr>
            <w:r>
              <w:rPr>
                <w:rFonts w:hAnsi="宋体"/>
                <w:szCs w:val="21"/>
              </w:rPr>
              <w:t>型号和规格</w:t>
            </w:r>
          </w:p>
        </w:tc>
        <w:tc>
          <w:tcPr>
            <w:tcW w:w="824" w:type="dxa"/>
            <w:vAlign w:val="center"/>
          </w:tcPr>
          <w:p>
            <w:pPr>
              <w:topLinePunct/>
              <w:jc w:val="center"/>
              <w:rPr>
                <w:szCs w:val="21"/>
              </w:rPr>
            </w:pPr>
            <w:r>
              <w:rPr>
                <w:rFonts w:hAnsi="宋体"/>
                <w:szCs w:val="21"/>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Align w:val="center"/>
          </w:tcPr>
          <w:p>
            <w:pPr>
              <w:topLinePunct/>
              <w:jc w:val="center"/>
              <w:rPr>
                <w:szCs w:val="21"/>
              </w:rPr>
            </w:pPr>
            <w:r>
              <w:rPr>
                <w:szCs w:val="21"/>
              </w:rPr>
              <w:t>1</w:t>
            </w:r>
          </w:p>
        </w:tc>
        <w:tc>
          <w:tcPr>
            <w:tcW w:w="2439" w:type="dxa"/>
            <w:vAlign w:val="center"/>
          </w:tcPr>
          <w:p>
            <w:pPr>
              <w:topLinePunct/>
              <w:jc w:val="center"/>
              <w:rPr>
                <w:szCs w:val="21"/>
              </w:rPr>
            </w:pPr>
          </w:p>
        </w:tc>
        <w:tc>
          <w:tcPr>
            <w:tcW w:w="1598" w:type="dxa"/>
            <w:vAlign w:val="center"/>
          </w:tcPr>
          <w:p>
            <w:pPr>
              <w:topLinePunct/>
              <w:jc w:val="center"/>
              <w:rPr>
                <w:szCs w:val="21"/>
              </w:rPr>
            </w:pPr>
          </w:p>
        </w:tc>
        <w:tc>
          <w:tcPr>
            <w:tcW w:w="1225" w:type="dxa"/>
            <w:vAlign w:val="center"/>
          </w:tcPr>
          <w:p>
            <w:pPr>
              <w:topLinePunct/>
              <w:jc w:val="center"/>
              <w:rPr>
                <w:szCs w:val="21"/>
              </w:rPr>
            </w:pPr>
          </w:p>
        </w:tc>
        <w:tc>
          <w:tcPr>
            <w:tcW w:w="836" w:type="dxa"/>
            <w:vAlign w:val="center"/>
          </w:tcPr>
          <w:p>
            <w:pPr>
              <w:topLinePunct/>
              <w:jc w:val="center"/>
              <w:rPr>
                <w:szCs w:val="21"/>
              </w:rPr>
            </w:pPr>
          </w:p>
        </w:tc>
        <w:tc>
          <w:tcPr>
            <w:tcW w:w="1172" w:type="dxa"/>
            <w:vAlign w:val="center"/>
          </w:tcPr>
          <w:p>
            <w:pPr>
              <w:topLinePunct/>
              <w:jc w:val="center"/>
              <w:rPr>
                <w:szCs w:val="21"/>
              </w:rPr>
            </w:pPr>
          </w:p>
        </w:tc>
        <w:tc>
          <w:tcPr>
            <w:tcW w:w="824"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Align w:val="center"/>
          </w:tcPr>
          <w:p>
            <w:pPr>
              <w:topLinePunct/>
              <w:jc w:val="center"/>
              <w:rPr>
                <w:szCs w:val="21"/>
              </w:rPr>
            </w:pPr>
            <w:r>
              <w:rPr>
                <w:szCs w:val="21"/>
              </w:rPr>
              <w:t>2</w:t>
            </w:r>
          </w:p>
        </w:tc>
        <w:tc>
          <w:tcPr>
            <w:tcW w:w="2439" w:type="dxa"/>
            <w:vAlign w:val="center"/>
          </w:tcPr>
          <w:p>
            <w:pPr>
              <w:topLinePunct/>
              <w:jc w:val="center"/>
              <w:rPr>
                <w:szCs w:val="21"/>
              </w:rPr>
            </w:pPr>
          </w:p>
        </w:tc>
        <w:tc>
          <w:tcPr>
            <w:tcW w:w="1598" w:type="dxa"/>
            <w:vAlign w:val="center"/>
          </w:tcPr>
          <w:p>
            <w:pPr>
              <w:topLinePunct/>
              <w:jc w:val="center"/>
              <w:rPr>
                <w:szCs w:val="21"/>
              </w:rPr>
            </w:pPr>
          </w:p>
        </w:tc>
        <w:tc>
          <w:tcPr>
            <w:tcW w:w="1225" w:type="dxa"/>
            <w:vAlign w:val="center"/>
          </w:tcPr>
          <w:p>
            <w:pPr>
              <w:topLinePunct/>
              <w:jc w:val="center"/>
              <w:rPr>
                <w:szCs w:val="21"/>
              </w:rPr>
            </w:pPr>
          </w:p>
        </w:tc>
        <w:tc>
          <w:tcPr>
            <w:tcW w:w="836" w:type="dxa"/>
            <w:vAlign w:val="center"/>
          </w:tcPr>
          <w:p>
            <w:pPr>
              <w:topLinePunct/>
              <w:jc w:val="center"/>
              <w:rPr>
                <w:szCs w:val="21"/>
              </w:rPr>
            </w:pPr>
          </w:p>
        </w:tc>
        <w:tc>
          <w:tcPr>
            <w:tcW w:w="1172" w:type="dxa"/>
            <w:vAlign w:val="center"/>
          </w:tcPr>
          <w:p>
            <w:pPr>
              <w:topLinePunct/>
              <w:jc w:val="center"/>
              <w:rPr>
                <w:szCs w:val="21"/>
              </w:rPr>
            </w:pPr>
          </w:p>
        </w:tc>
        <w:tc>
          <w:tcPr>
            <w:tcW w:w="824"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40" w:name="_Toc155113116"/>
      <w:bookmarkStart w:id="241" w:name="_Toc247536316"/>
      <w:bookmarkStart w:id="242" w:name="_Toc103766766"/>
      <w:bookmarkStart w:id="243" w:name="_Toc252539440"/>
      <w:bookmarkStart w:id="244" w:name="_Toc241652040"/>
      <w:bookmarkStart w:id="245" w:name="_Toc345514946"/>
      <w:bookmarkStart w:id="246" w:name="_Toc155182704"/>
      <w:r>
        <w:rPr>
          <w:b w:val="0"/>
          <w:bCs/>
          <w:snapToGrid w:val="0"/>
          <w:kern w:val="0"/>
          <w:sz w:val="24"/>
          <w:szCs w:val="24"/>
        </w:rPr>
        <w:t xml:space="preserve">2.3  </w:t>
      </w:r>
      <w:r>
        <w:rPr>
          <w:rFonts w:hAnsi="宋体"/>
          <w:b w:val="0"/>
          <w:bCs/>
          <w:snapToGrid w:val="0"/>
          <w:kern w:val="0"/>
          <w:sz w:val="24"/>
          <w:szCs w:val="24"/>
        </w:rPr>
        <w:t>工程概况</w:t>
      </w:r>
      <w:bookmarkEnd w:id="240"/>
      <w:bookmarkEnd w:id="241"/>
      <w:bookmarkEnd w:id="242"/>
      <w:bookmarkEnd w:id="243"/>
      <w:bookmarkEnd w:id="244"/>
      <w:bookmarkEnd w:id="245"/>
      <w:bookmarkEnd w:id="246"/>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2.3.1  </w:t>
      </w:r>
      <w:r>
        <w:rPr>
          <w:rFonts w:ascii="Times New Roman"/>
          <w:b w:val="0"/>
          <w:snapToGrid w:val="0"/>
          <w:color w:val="auto"/>
          <w:kern w:val="0"/>
          <w:szCs w:val="24"/>
        </w:rPr>
        <w:t>项目名称：</w:t>
      </w:r>
      <w:r>
        <w:rPr>
          <w:rFonts w:hint="eastAsia" w:ascii="Times New Roman"/>
          <w:b w:val="0"/>
          <w:snapToGrid w:val="0"/>
          <w:color w:val="auto"/>
          <w:kern w:val="0"/>
          <w:szCs w:val="24"/>
        </w:rPr>
        <w:t>阿拉善供电公司阿右旗供电分公司信息机房双设备改造</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2.3.2  </w:t>
      </w:r>
      <w:r>
        <w:rPr>
          <w:rFonts w:ascii="Times New Roman"/>
          <w:b w:val="0"/>
          <w:snapToGrid w:val="0"/>
          <w:color w:val="auto"/>
          <w:kern w:val="0"/>
          <w:szCs w:val="24"/>
        </w:rPr>
        <w:t>项目单位：</w:t>
      </w:r>
      <w:r>
        <w:rPr>
          <w:rFonts w:hint="eastAsia" w:ascii="Times New Roman"/>
          <w:b w:val="0"/>
          <w:snapToGrid w:val="0"/>
          <w:color w:val="auto"/>
          <w:kern w:val="0"/>
          <w:szCs w:val="24"/>
        </w:rPr>
        <w:t>阿拉善供电公司</w:t>
      </w:r>
    </w:p>
    <w:p>
      <w:pPr>
        <w:pStyle w:val="19"/>
        <w:topLinePunct/>
        <w:adjustRightInd w:val="0"/>
        <w:snapToGrid w:val="0"/>
        <w:spacing w:line="360" w:lineRule="auto"/>
        <w:rPr>
          <w:szCs w:val="28"/>
        </w:rPr>
      </w:pPr>
      <w:r>
        <w:rPr>
          <w:rFonts w:ascii="Times New Roman" w:hAnsi="Times New Roman"/>
          <w:b w:val="0"/>
          <w:snapToGrid w:val="0"/>
          <w:color w:val="auto"/>
          <w:kern w:val="0"/>
          <w:szCs w:val="24"/>
        </w:rPr>
        <w:t xml:space="preserve">2.3.3  </w:t>
      </w:r>
      <w:r>
        <w:rPr>
          <w:rFonts w:ascii="Times New Roman"/>
          <w:b w:val="0"/>
          <w:snapToGrid w:val="0"/>
          <w:color w:val="auto"/>
          <w:kern w:val="0"/>
          <w:szCs w:val="24"/>
        </w:rPr>
        <w:t>工程规模：</w:t>
      </w:r>
      <w:r>
        <w:rPr>
          <w:rFonts w:hint="eastAsia" w:ascii="Times New Roman"/>
          <w:b w:val="0"/>
          <w:snapToGrid w:val="0"/>
          <w:color w:val="auto"/>
          <w:kern w:val="0"/>
          <w:szCs w:val="24"/>
        </w:rPr>
        <w:t>本次改造在四楼信息机房新增一台路由器和一台核心交换机，形成双机热备冗余配置，大大提升网络可靠性和安全性，右旗220kV站华为S3700交换机新增一条上行链路，GE光口上联至光端机，再上行至右旗供电分公司信息机房本次新增的核心交换机。上井子110kV站H3C 5500交换机也新增一条上行链路，GE光口上联至光端机，再上行至右旗供电分公司信息机房本次新增的核心交换机（光端机千兆板在2022年技改项目通信技改项目中实施增补）。</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2.3.4  </w:t>
      </w:r>
      <w:r>
        <w:rPr>
          <w:rFonts w:ascii="Times New Roman"/>
          <w:b w:val="0"/>
          <w:snapToGrid w:val="0"/>
          <w:color w:val="auto"/>
          <w:kern w:val="0"/>
          <w:szCs w:val="24"/>
        </w:rPr>
        <w:t>工程地址：</w:t>
      </w:r>
      <w:r>
        <w:rPr>
          <w:rFonts w:hint="eastAsia" w:ascii="Times New Roman"/>
          <w:b w:val="0"/>
          <w:snapToGrid w:val="0"/>
          <w:color w:val="auto"/>
          <w:kern w:val="0"/>
          <w:szCs w:val="24"/>
        </w:rPr>
        <w:t>阿右旗</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2.3.5  </w:t>
      </w:r>
      <w:r>
        <w:rPr>
          <w:rFonts w:ascii="Times New Roman"/>
          <w:b w:val="0"/>
          <w:snapToGrid w:val="0"/>
          <w:color w:val="auto"/>
          <w:kern w:val="0"/>
          <w:szCs w:val="24"/>
        </w:rPr>
        <w:t>交通、运输：</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47" w:name="_Toc345514947"/>
      <w:bookmarkStart w:id="248" w:name="_Toc103766767"/>
      <w:bookmarkStart w:id="249" w:name="_Toc252539441"/>
      <w:bookmarkStart w:id="250" w:name="_Toc247536318"/>
      <w:bookmarkStart w:id="251" w:name="_Toc241652042"/>
      <w:bookmarkStart w:id="252" w:name="_Toc155182708"/>
      <w:r>
        <w:rPr>
          <w:b w:val="0"/>
          <w:bCs/>
          <w:snapToGrid w:val="0"/>
          <w:kern w:val="0"/>
          <w:sz w:val="24"/>
          <w:szCs w:val="24"/>
        </w:rPr>
        <w:t xml:space="preserve">2.4  </w:t>
      </w:r>
      <w:r>
        <w:rPr>
          <w:rFonts w:hAnsi="宋体"/>
          <w:b w:val="0"/>
          <w:bCs/>
          <w:snapToGrid w:val="0"/>
          <w:kern w:val="0"/>
          <w:sz w:val="24"/>
          <w:szCs w:val="24"/>
        </w:rPr>
        <w:t>使用条件</w:t>
      </w:r>
      <w:bookmarkEnd w:id="247"/>
      <w:bookmarkEnd w:id="248"/>
      <w:bookmarkEnd w:id="249"/>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5</w:t>
      </w:r>
      <w:r>
        <w:rPr>
          <w:rFonts w:hAnsi="宋体"/>
          <w:sz w:val="24"/>
          <w:szCs w:val="24"/>
        </w:rPr>
        <w:t>　</w:t>
      </w:r>
      <w:r>
        <w:rPr>
          <w:rFonts w:hint="eastAsia" w:hAnsi="宋体"/>
          <w:sz w:val="24"/>
          <w:szCs w:val="24"/>
        </w:rPr>
        <w:t xml:space="preserve">                        </w:t>
      </w:r>
      <w:r>
        <w:rPr>
          <w:rFonts w:hAnsi="宋体"/>
          <w:sz w:val="24"/>
          <w:szCs w:val="24"/>
        </w:rPr>
        <w:t>使用条件表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598"/>
        <w:gridCol w:w="1975"/>
        <w:gridCol w:w="1230"/>
        <w:gridCol w:w="1778"/>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topLinePunct/>
              <w:snapToGrid w:val="0"/>
              <w:spacing w:before="40" w:after="40"/>
              <w:jc w:val="center"/>
              <w:rPr>
                <w:szCs w:val="21"/>
              </w:rPr>
            </w:pPr>
            <w:r>
              <w:rPr>
                <w:rFonts w:hAnsi="宋体"/>
                <w:szCs w:val="21"/>
              </w:rPr>
              <w:t>序号</w:t>
            </w:r>
          </w:p>
        </w:tc>
        <w:tc>
          <w:tcPr>
            <w:tcW w:w="3573" w:type="dxa"/>
            <w:gridSpan w:val="2"/>
            <w:vAlign w:val="center"/>
          </w:tcPr>
          <w:p>
            <w:pPr>
              <w:widowControl/>
              <w:jc w:val="center"/>
              <w:rPr>
                <w:color w:val="000000"/>
                <w:kern w:val="0"/>
                <w:szCs w:val="21"/>
              </w:rPr>
            </w:pPr>
            <w:r>
              <w:rPr>
                <w:rFonts w:hAnsi="宋体"/>
                <w:color w:val="000000"/>
                <w:kern w:val="0"/>
                <w:szCs w:val="21"/>
              </w:rPr>
              <w:t>名</w:t>
            </w:r>
            <w:r>
              <w:rPr>
                <w:color w:val="000000"/>
                <w:kern w:val="0"/>
                <w:szCs w:val="21"/>
              </w:rPr>
              <w:t xml:space="preserve">  </w:t>
            </w:r>
            <w:r>
              <w:rPr>
                <w:rFonts w:hAnsi="宋体"/>
                <w:color w:val="000000"/>
                <w:kern w:val="0"/>
                <w:szCs w:val="21"/>
              </w:rPr>
              <w:t>称</w:t>
            </w:r>
          </w:p>
        </w:tc>
        <w:tc>
          <w:tcPr>
            <w:tcW w:w="1230" w:type="dxa"/>
            <w:vAlign w:val="center"/>
          </w:tcPr>
          <w:p>
            <w:pPr>
              <w:widowControl/>
              <w:jc w:val="center"/>
              <w:rPr>
                <w:color w:val="000000"/>
                <w:kern w:val="0"/>
                <w:szCs w:val="21"/>
              </w:rPr>
            </w:pPr>
            <w:r>
              <w:rPr>
                <w:rFonts w:hAnsi="宋体"/>
                <w:color w:val="000000"/>
                <w:kern w:val="0"/>
                <w:szCs w:val="21"/>
              </w:rPr>
              <w:t>单位</w:t>
            </w:r>
          </w:p>
        </w:tc>
        <w:tc>
          <w:tcPr>
            <w:tcW w:w="1778" w:type="dxa"/>
            <w:vAlign w:val="center"/>
          </w:tcPr>
          <w:p>
            <w:pPr>
              <w:widowControl/>
              <w:jc w:val="center"/>
              <w:rPr>
                <w:color w:val="000000"/>
                <w:kern w:val="0"/>
                <w:szCs w:val="21"/>
              </w:rPr>
            </w:pPr>
            <w:r>
              <w:rPr>
                <w:rFonts w:hAnsi="宋体"/>
                <w:color w:val="000000"/>
                <w:kern w:val="0"/>
                <w:szCs w:val="21"/>
              </w:rPr>
              <w:t>招标人要求值</w:t>
            </w:r>
          </w:p>
        </w:tc>
        <w:tc>
          <w:tcPr>
            <w:tcW w:w="1778" w:type="dxa"/>
            <w:vAlign w:val="center"/>
          </w:tcPr>
          <w:p>
            <w:pPr>
              <w:widowControl/>
              <w:jc w:val="center"/>
              <w:rPr>
                <w:color w:val="000000"/>
                <w:kern w:val="0"/>
                <w:szCs w:val="21"/>
              </w:rPr>
            </w:pPr>
            <w:r>
              <w:rPr>
                <w:rFonts w:hAnsi="宋体"/>
                <w:color w:val="000000"/>
                <w:kern w:val="0"/>
                <w:szCs w:val="21"/>
              </w:rPr>
              <w:t>投标人保证值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restart"/>
            <w:vAlign w:val="center"/>
          </w:tcPr>
          <w:p>
            <w:pPr>
              <w:jc w:val="center"/>
              <w:rPr>
                <w:color w:val="000000"/>
                <w:kern w:val="0"/>
                <w:szCs w:val="21"/>
              </w:rPr>
            </w:pPr>
            <w:r>
              <w:rPr>
                <w:color w:val="000000"/>
                <w:kern w:val="0"/>
                <w:szCs w:val="21"/>
              </w:rPr>
              <w:t>1</w:t>
            </w:r>
          </w:p>
        </w:tc>
        <w:tc>
          <w:tcPr>
            <w:tcW w:w="1598" w:type="dxa"/>
            <w:vMerge w:val="restart"/>
            <w:vAlign w:val="center"/>
          </w:tcPr>
          <w:p>
            <w:pPr>
              <w:widowControl/>
              <w:jc w:val="center"/>
              <w:rPr>
                <w:color w:val="000000"/>
                <w:kern w:val="0"/>
                <w:szCs w:val="21"/>
              </w:rPr>
            </w:pPr>
            <w:r>
              <w:rPr>
                <w:rFonts w:hAnsi="宋体"/>
                <w:color w:val="000000"/>
                <w:kern w:val="0"/>
                <w:szCs w:val="21"/>
              </w:rPr>
              <w:t>环境温度</w:t>
            </w:r>
          </w:p>
        </w:tc>
        <w:tc>
          <w:tcPr>
            <w:tcW w:w="1975" w:type="dxa"/>
            <w:vAlign w:val="center"/>
          </w:tcPr>
          <w:p>
            <w:pPr>
              <w:widowControl/>
              <w:jc w:val="center"/>
              <w:rPr>
                <w:color w:val="000000"/>
                <w:kern w:val="0"/>
                <w:szCs w:val="21"/>
              </w:rPr>
            </w:pPr>
            <w:r>
              <w:rPr>
                <w:rFonts w:hAnsi="宋体"/>
                <w:color w:val="000000"/>
                <w:kern w:val="0"/>
                <w:szCs w:val="21"/>
              </w:rPr>
              <w:t>设备储存温度</w:t>
            </w:r>
          </w:p>
        </w:tc>
        <w:tc>
          <w:tcPr>
            <w:tcW w:w="1230" w:type="dxa"/>
            <w:vMerge w:val="restart"/>
            <w:vAlign w:val="center"/>
          </w:tcPr>
          <w:p>
            <w:pPr>
              <w:widowControl/>
              <w:jc w:val="center"/>
              <w:rPr>
                <w:color w:val="000000"/>
                <w:kern w:val="0"/>
                <w:szCs w:val="21"/>
              </w:rPr>
            </w:pPr>
            <w:r>
              <w:rPr>
                <w:rFonts w:ascii="宋体" w:hAnsi="宋体"/>
                <w:color w:val="000000"/>
                <w:kern w:val="0"/>
                <w:szCs w:val="21"/>
              </w:rPr>
              <w:t>℃</w:t>
            </w:r>
          </w:p>
        </w:tc>
        <w:tc>
          <w:tcPr>
            <w:tcW w:w="1778" w:type="dxa"/>
            <w:vAlign w:val="center"/>
          </w:tcPr>
          <w:p>
            <w:pPr>
              <w:widowControl/>
              <w:jc w:val="center"/>
              <w:rPr>
                <w:color w:val="000000"/>
                <w:kern w:val="0"/>
                <w:szCs w:val="21"/>
              </w:rPr>
            </w:pPr>
            <w:r>
              <w:rPr>
                <w:color w:val="000000"/>
                <w:kern w:val="0"/>
                <w:szCs w:val="21"/>
              </w:rPr>
              <w:t>-40</w:t>
            </w:r>
            <w:r>
              <w:rPr>
                <w:rFonts w:hAnsi="宋体"/>
                <w:color w:val="000000"/>
                <w:kern w:val="0"/>
                <w:szCs w:val="21"/>
              </w:rPr>
              <w:t>～</w:t>
            </w:r>
            <w:r>
              <w:rPr>
                <w:color w:val="000000"/>
                <w:kern w:val="0"/>
                <w:szCs w:val="21"/>
              </w:rPr>
              <w:t>+55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continue"/>
            <w:vAlign w:val="center"/>
          </w:tcPr>
          <w:p>
            <w:pPr>
              <w:jc w:val="center"/>
              <w:rPr>
                <w:color w:val="000000"/>
                <w:kern w:val="0"/>
                <w:szCs w:val="21"/>
              </w:rPr>
            </w:pPr>
          </w:p>
        </w:tc>
        <w:tc>
          <w:tcPr>
            <w:tcW w:w="1598" w:type="dxa"/>
            <w:vMerge w:val="continue"/>
            <w:vAlign w:val="center"/>
          </w:tcPr>
          <w:p>
            <w:pPr>
              <w:widowControl/>
              <w:jc w:val="center"/>
              <w:rPr>
                <w:color w:val="000000"/>
                <w:kern w:val="0"/>
                <w:szCs w:val="21"/>
              </w:rPr>
            </w:pPr>
          </w:p>
        </w:tc>
        <w:tc>
          <w:tcPr>
            <w:tcW w:w="1975" w:type="dxa"/>
            <w:vAlign w:val="center"/>
          </w:tcPr>
          <w:p>
            <w:pPr>
              <w:widowControl/>
              <w:jc w:val="center"/>
              <w:rPr>
                <w:color w:val="000000"/>
                <w:kern w:val="0"/>
                <w:szCs w:val="21"/>
              </w:rPr>
            </w:pPr>
            <w:r>
              <w:rPr>
                <w:rFonts w:hAnsi="宋体"/>
                <w:color w:val="000000"/>
                <w:kern w:val="0"/>
                <w:szCs w:val="21"/>
              </w:rPr>
              <w:t>设备工作温度</w:t>
            </w:r>
          </w:p>
        </w:tc>
        <w:tc>
          <w:tcPr>
            <w:tcW w:w="1230" w:type="dxa"/>
            <w:vMerge w:val="continue"/>
            <w:vAlign w:val="center"/>
          </w:tcPr>
          <w:p>
            <w:pPr>
              <w:widowControl/>
              <w:jc w:val="center"/>
              <w:rPr>
                <w:color w:val="000000"/>
                <w:kern w:val="0"/>
                <w:szCs w:val="21"/>
              </w:rPr>
            </w:pPr>
          </w:p>
        </w:tc>
        <w:tc>
          <w:tcPr>
            <w:tcW w:w="1778" w:type="dxa"/>
            <w:vAlign w:val="center"/>
          </w:tcPr>
          <w:p>
            <w:pPr>
              <w:widowControl/>
              <w:jc w:val="center"/>
              <w:rPr>
                <w:color w:val="000000"/>
                <w:kern w:val="0"/>
                <w:szCs w:val="21"/>
              </w:rPr>
            </w:pPr>
            <w:r>
              <w:rPr>
                <w:color w:val="000000"/>
                <w:kern w:val="0"/>
                <w:szCs w:val="21"/>
              </w:rPr>
              <w:t>0</w:t>
            </w:r>
            <w:r>
              <w:rPr>
                <w:rFonts w:hAnsi="宋体"/>
                <w:color w:val="000000"/>
                <w:kern w:val="0"/>
                <w:szCs w:val="21"/>
              </w:rPr>
              <w:t>～</w:t>
            </w:r>
            <w:r>
              <w:rPr>
                <w:color w:val="000000"/>
                <w:kern w:val="0"/>
                <w:szCs w:val="21"/>
              </w:rPr>
              <w:t>+45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jc w:val="center"/>
              <w:rPr>
                <w:color w:val="000000"/>
                <w:kern w:val="0"/>
                <w:szCs w:val="21"/>
              </w:rPr>
            </w:pPr>
            <w:r>
              <w:rPr>
                <w:color w:val="000000"/>
                <w:kern w:val="0"/>
                <w:szCs w:val="21"/>
              </w:rPr>
              <w:t>2</w:t>
            </w:r>
          </w:p>
        </w:tc>
        <w:tc>
          <w:tcPr>
            <w:tcW w:w="3573" w:type="dxa"/>
            <w:gridSpan w:val="2"/>
            <w:vAlign w:val="center"/>
          </w:tcPr>
          <w:p>
            <w:pPr>
              <w:widowControl/>
              <w:jc w:val="center"/>
              <w:rPr>
                <w:color w:val="000000"/>
                <w:kern w:val="0"/>
                <w:szCs w:val="21"/>
              </w:rPr>
            </w:pPr>
            <w:r>
              <w:rPr>
                <w:rFonts w:hAnsi="宋体"/>
                <w:color w:val="000000"/>
                <w:kern w:val="0"/>
                <w:szCs w:val="21"/>
              </w:rPr>
              <w:t>海拔高度</w:t>
            </w:r>
          </w:p>
        </w:tc>
        <w:tc>
          <w:tcPr>
            <w:tcW w:w="1230" w:type="dxa"/>
            <w:vAlign w:val="center"/>
          </w:tcPr>
          <w:p>
            <w:pPr>
              <w:widowControl/>
              <w:jc w:val="center"/>
              <w:rPr>
                <w:color w:val="000000"/>
                <w:kern w:val="0"/>
                <w:szCs w:val="21"/>
              </w:rPr>
            </w:pPr>
            <w:r>
              <w:rPr>
                <w:color w:val="000000"/>
                <w:kern w:val="0"/>
                <w:szCs w:val="21"/>
              </w:rPr>
              <w:t>m</w:t>
            </w:r>
          </w:p>
        </w:tc>
        <w:tc>
          <w:tcPr>
            <w:tcW w:w="1778" w:type="dxa"/>
            <w:vAlign w:val="center"/>
          </w:tcPr>
          <w:p>
            <w:pPr>
              <w:widowControl/>
              <w:jc w:val="center"/>
              <w:rPr>
                <w:color w:val="000000"/>
                <w:kern w:val="0"/>
                <w:szCs w:val="21"/>
              </w:rPr>
            </w:pPr>
            <w:r>
              <w:rPr>
                <w:color w:val="000000"/>
                <w:kern w:val="0"/>
                <w:szCs w:val="21"/>
              </w:rPr>
              <w:t>3000</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jc w:val="center"/>
              <w:rPr>
                <w:color w:val="000000"/>
                <w:kern w:val="0"/>
                <w:szCs w:val="21"/>
              </w:rPr>
            </w:pPr>
            <w:r>
              <w:rPr>
                <w:color w:val="000000"/>
                <w:kern w:val="0"/>
                <w:szCs w:val="21"/>
              </w:rPr>
              <w:t>3</w:t>
            </w:r>
          </w:p>
        </w:tc>
        <w:tc>
          <w:tcPr>
            <w:tcW w:w="3573" w:type="dxa"/>
            <w:gridSpan w:val="2"/>
            <w:vAlign w:val="center"/>
          </w:tcPr>
          <w:p>
            <w:pPr>
              <w:widowControl/>
              <w:jc w:val="center"/>
              <w:rPr>
                <w:color w:val="000000"/>
                <w:kern w:val="0"/>
                <w:szCs w:val="21"/>
              </w:rPr>
            </w:pPr>
            <w:r>
              <w:rPr>
                <w:rFonts w:hAnsi="宋体"/>
                <w:color w:val="000000"/>
                <w:kern w:val="0"/>
                <w:szCs w:val="21"/>
              </w:rPr>
              <w:t>相对湿度</w:t>
            </w:r>
          </w:p>
        </w:tc>
        <w:tc>
          <w:tcPr>
            <w:tcW w:w="1230" w:type="dxa"/>
            <w:vAlign w:val="center"/>
          </w:tcPr>
          <w:p>
            <w:pPr>
              <w:widowControl/>
              <w:jc w:val="center"/>
              <w:rPr>
                <w:color w:val="000000"/>
                <w:kern w:val="0"/>
                <w:szCs w:val="21"/>
              </w:rPr>
            </w:pPr>
            <w:r>
              <w:rPr>
                <w:color w:val="000000"/>
                <w:kern w:val="0"/>
                <w:szCs w:val="21"/>
              </w:rPr>
              <w:t>%</w:t>
            </w:r>
          </w:p>
        </w:tc>
        <w:tc>
          <w:tcPr>
            <w:tcW w:w="1778" w:type="dxa"/>
            <w:vAlign w:val="center"/>
          </w:tcPr>
          <w:p>
            <w:pPr>
              <w:widowControl/>
              <w:jc w:val="center"/>
              <w:rPr>
                <w:color w:val="000000"/>
                <w:kern w:val="0"/>
                <w:szCs w:val="21"/>
              </w:rPr>
            </w:pPr>
            <w:r>
              <w:rPr>
                <w:color w:val="000000"/>
                <w:kern w:val="0"/>
                <w:szCs w:val="21"/>
              </w:rPr>
              <w:t>30</w:t>
            </w:r>
            <w:r>
              <w:rPr>
                <w:rFonts w:hAnsi="宋体"/>
                <w:color w:val="000000"/>
                <w:kern w:val="0"/>
                <w:szCs w:val="21"/>
              </w:rPr>
              <w:t>～</w:t>
            </w:r>
            <w:r>
              <w:rPr>
                <w:color w:val="000000"/>
                <w:kern w:val="0"/>
                <w:szCs w:val="21"/>
              </w:rPr>
              <w:t>85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restart"/>
            <w:vAlign w:val="center"/>
          </w:tcPr>
          <w:p>
            <w:pPr>
              <w:jc w:val="center"/>
              <w:rPr>
                <w:color w:val="000000"/>
                <w:kern w:val="0"/>
                <w:szCs w:val="21"/>
              </w:rPr>
            </w:pPr>
            <w:r>
              <w:rPr>
                <w:color w:val="000000"/>
                <w:kern w:val="0"/>
                <w:szCs w:val="21"/>
              </w:rPr>
              <w:t>4</w:t>
            </w:r>
          </w:p>
        </w:tc>
        <w:tc>
          <w:tcPr>
            <w:tcW w:w="1598" w:type="dxa"/>
            <w:vMerge w:val="restart"/>
            <w:vAlign w:val="center"/>
          </w:tcPr>
          <w:p>
            <w:pPr>
              <w:widowControl/>
              <w:jc w:val="center"/>
              <w:rPr>
                <w:color w:val="000000"/>
                <w:kern w:val="0"/>
                <w:szCs w:val="21"/>
              </w:rPr>
            </w:pPr>
            <w:r>
              <w:rPr>
                <w:rFonts w:hAnsi="宋体"/>
                <w:color w:val="000000"/>
                <w:kern w:val="0"/>
                <w:szCs w:val="21"/>
              </w:rPr>
              <w:t>耐受地震能力</w:t>
            </w:r>
          </w:p>
        </w:tc>
        <w:tc>
          <w:tcPr>
            <w:tcW w:w="1975" w:type="dxa"/>
            <w:vAlign w:val="center"/>
          </w:tcPr>
          <w:p>
            <w:pPr>
              <w:widowControl/>
              <w:jc w:val="center"/>
              <w:rPr>
                <w:color w:val="000000"/>
                <w:kern w:val="0"/>
                <w:szCs w:val="21"/>
              </w:rPr>
            </w:pPr>
            <w:r>
              <w:rPr>
                <w:rFonts w:hAnsi="宋体"/>
                <w:color w:val="000000"/>
                <w:kern w:val="0"/>
                <w:szCs w:val="21"/>
              </w:rPr>
              <w:t>水平加速度</w:t>
            </w:r>
          </w:p>
        </w:tc>
        <w:tc>
          <w:tcPr>
            <w:tcW w:w="1230" w:type="dxa"/>
            <w:vAlign w:val="center"/>
          </w:tcPr>
          <w:p>
            <w:pPr>
              <w:widowControl/>
              <w:jc w:val="center"/>
              <w:rPr>
                <w:color w:val="000000"/>
                <w:kern w:val="0"/>
                <w:szCs w:val="21"/>
              </w:rPr>
            </w:pPr>
            <w:r>
              <w:rPr>
                <w:color w:val="000000"/>
                <w:kern w:val="0"/>
                <w:szCs w:val="21"/>
              </w:rPr>
              <w:t>g</w:t>
            </w:r>
          </w:p>
        </w:tc>
        <w:tc>
          <w:tcPr>
            <w:tcW w:w="1778" w:type="dxa"/>
            <w:vAlign w:val="center"/>
          </w:tcPr>
          <w:p>
            <w:pPr>
              <w:widowControl/>
              <w:jc w:val="center"/>
              <w:rPr>
                <w:color w:val="000000"/>
                <w:kern w:val="0"/>
                <w:szCs w:val="21"/>
              </w:rPr>
            </w:pPr>
            <w:r>
              <w:rPr>
                <w:color w:val="000000"/>
                <w:kern w:val="0"/>
                <w:szCs w:val="21"/>
              </w:rPr>
              <w:t>0.3g</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continue"/>
            <w:vAlign w:val="center"/>
          </w:tcPr>
          <w:p>
            <w:pPr>
              <w:topLinePunct/>
              <w:snapToGrid w:val="0"/>
              <w:spacing w:before="40" w:after="40"/>
              <w:jc w:val="center"/>
              <w:rPr>
                <w:szCs w:val="21"/>
              </w:rPr>
            </w:pPr>
          </w:p>
        </w:tc>
        <w:tc>
          <w:tcPr>
            <w:tcW w:w="1598" w:type="dxa"/>
            <w:vMerge w:val="continue"/>
            <w:vAlign w:val="center"/>
          </w:tcPr>
          <w:p>
            <w:pPr>
              <w:widowControl/>
              <w:jc w:val="center"/>
              <w:rPr>
                <w:color w:val="000000"/>
                <w:kern w:val="0"/>
                <w:szCs w:val="21"/>
              </w:rPr>
            </w:pPr>
          </w:p>
        </w:tc>
        <w:tc>
          <w:tcPr>
            <w:tcW w:w="1975" w:type="dxa"/>
            <w:vAlign w:val="center"/>
          </w:tcPr>
          <w:p>
            <w:pPr>
              <w:widowControl/>
              <w:jc w:val="center"/>
              <w:rPr>
                <w:color w:val="000000"/>
                <w:kern w:val="0"/>
                <w:szCs w:val="21"/>
              </w:rPr>
            </w:pPr>
            <w:r>
              <w:rPr>
                <w:rFonts w:hAnsi="宋体"/>
                <w:color w:val="000000"/>
                <w:kern w:val="0"/>
                <w:szCs w:val="21"/>
              </w:rPr>
              <w:t>垂直加速度</w:t>
            </w:r>
          </w:p>
        </w:tc>
        <w:tc>
          <w:tcPr>
            <w:tcW w:w="1230" w:type="dxa"/>
            <w:vAlign w:val="center"/>
          </w:tcPr>
          <w:p>
            <w:pPr>
              <w:widowControl/>
              <w:jc w:val="center"/>
              <w:rPr>
                <w:color w:val="000000"/>
                <w:kern w:val="0"/>
                <w:szCs w:val="21"/>
              </w:rPr>
            </w:pPr>
            <w:r>
              <w:rPr>
                <w:color w:val="000000"/>
                <w:kern w:val="0"/>
                <w:szCs w:val="21"/>
              </w:rPr>
              <w:t>g</w:t>
            </w:r>
          </w:p>
        </w:tc>
        <w:tc>
          <w:tcPr>
            <w:tcW w:w="1778" w:type="dxa"/>
            <w:vAlign w:val="center"/>
          </w:tcPr>
          <w:p>
            <w:pPr>
              <w:widowControl/>
              <w:jc w:val="center"/>
              <w:rPr>
                <w:color w:val="000000"/>
                <w:kern w:val="0"/>
                <w:szCs w:val="21"/>
              </w:rPr>
            </w:pPr>
            <w:r>
              <w:rPr>
                <w:color w:val="000000"/>
                <w:kern w:val="0"/>
                <w:szCs w:val="21"/>
              </w:rPr>
              <w:t>0.15g</w:t>
            </w:r>
          </w:p>
        </w:tc>
        <w:tc>
          <w:tcPr>
            <w:tcW w:w="1778" w:type="dxa"/>
            <w:vAlign w:val="center"/>
          </w:tcPr>
          <w:p>
            <w:pPr>
              <w:widowControl/>
              <w:jc w:val="center"/>
              <w:rPr>
                <w:color w:val="000000"/>
                <w:kern w:val="0"/>
                <w:szCs w:val="21"/>
              </w:rPr>
            </w:pPr>
            <w:r>
              <w:rPr>
                <w:rFonts w:hAnsi="宋体"/>
                <w:color w:val="000000"/>
                <w:kern w:val="0"/>
                <w:szCs w:val="21"/>
              </w:rPr>
              <w:t>（投标人填写）</w:t>
            </w:r>
          </w:p>
        </w:tc>
      </w:tr>
    </w:tbl>
    <w:p>
      <w:pPr>
        <w:adjustRightInd w:val="0"/>
        <w:snapToGrid w:val="0"/>
        <w:spacing w:before="156" w:beforeLines="50" w:line="360" w:lineRule="auto"/>
        <w:ind w:firstLine="420" w:firstLineChars="200"/>
        <w:rPr>
          <w:szCs w:val="21"/>
        </w:rPr>
      </w:pPr>
      <w:r>
        <w:rPr>
          <w:rFonts w:hAnsi="宋体"/>
          <w:szCs w:val="21"/>
        </w:rPr>
        <w:t>注：表</w:t>
      </w:r>
      <w:r>
        <w:rPr>
          <w:szCs w:val="21"/>
        </w:rPr>
        <w:t>6</w:t>
      </w:r>
      <w:r>
        <w:rPr>
          <w:rFonts w:hAnsi="宋体"/>
          <w:szCs w:val="21"/>
        </w:rPr>
        <w:t>中</w:t>
      </w:r>
      <w:r>
        <w:rPr>
          <w:szCs w:val="21"/>
        </w:rPr>
        <w:t>“</w:t>
      </w:r>
      <w:r>
        <w:rPr>
          <w:rFonts w:hAnsi="宋体"/>
          <w:szCs w:val="21"/>
        </w:rPr>
        <w:t>招标人要求值</w:t>
      </w:r>
      <w:r>
        <w:rPr>
          <w:szCs w:val="21"/>
        </w:rPr>
        <w:t>”</w:t>
      </w:r>
      <w:r>
        <w:rPr>
          <w:rFonts w:hAnsi="宋体"/>
          <w:szCs w:val="21"/>
        </w:rPr>
        <w:t>为正常使用条件，超出此值时为特殊使用条件，项目单位可根据工程实际使用条件进行修改。</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53" w:name="_Toc345514948"/>
      <w:bookmarkStart w:id="254" w:name="_Toc252539442"/>
      <w:bookmarkStart w:id="255" w:name="_Toc103766768"/>
      <w:r>
        <w:rPr>
          <w:b w:val="0"/>
          <w:bCs/>
          <w:snapToGrid w:val="0"/>
          <w:kern w:val="0"/>
          <w:sz w:val="24"/>
          <w:szCs w:val="24"/>
        </w:rPr>
        <w:t xml:space="preserve">2.5  </w:t>
      </w:r>
      <w:r>
        <w:rPr>
          <w:rFonts w:hAnsi="宋体"/>
          <w:b w:val="0"/>
          <w:bCs/>
          <w:snapToGrid w:val="0"/>
          <w:kern w:val="0"/>
          <w:sz w:val="24"/>
          <w:szCs w:val="24"/>
        </w:rPr>
        <w:t>项目单位技术</w:t>
      </w:r>
      <w:bookmarkStart w:id="256" w:name="_Toc113530742"/>
      <w:bookmarkStart w:id="257" w:name="_Toc129573395"/>
      <w:bookmarkStart w:id="258" w:name="_Toc113439809"/>
      <w:r>
        <w:rPr>
          <w:rFonts w:hAnsi="宋体"/>
          <w:b w:val="0"/>
          <w:bCs/>
          <w:snapToGrid w:val="0"/>
          <w:kern w:val="0"/>
          <w:sz w:val="24"/>
          <w:szCs w:val="24"/>
        </w:rPr>
        <w:t>差异表</w:t>
      </w:r>
      <w:bookmarkEnd w:id="250"/>
      <w:bookmarkEnd w:id="251"/>
      <w:bookmarkEnd w:id="252"/>
      <w:bookmarkEnd w:id="253"/>
      <w:bookmarkEnd w:id="254"/>
      <w:bookmarkEnd w:id="255"/>
    </w:p>
    <w:bookmarkEnd w:id="256"/>
    <w:bookmarkEnd w:id="257"/>
    <w:bookmarkEnd w:id="258"/>
    <w:p>
      <w:pPr>
        <w:adjustRightInd w:val="0"/>
        <w:snapToGrid w:val="0"/>
        <w:spacing w:line="360" w:lineRule="auto"/>
        <w:ind w:firstLine="480" w:firstLineChars="200"/>
        <w:textAlignment w:val="baseline"/>
        <w:rPr>
          <w:sz w:val="24"/>
          <w:szCs w:val="24"/>
        </w:rPr>
      </w:pPr>
      <w:r>
        <w:rPr>
          <w:rFonts w:hAnsi="宋体"/>
          <w:sz w:val="24"/>
          <w:szCs w:val="24"/>
        </w:rPr>
        <w:t>项目单位原则上不能改动通用部分条款及专用部分固化的参数。</w:t>
      </w:r>
      <w:bookmarkStart w:id="259" w:name="_Toc22452674"/>
      <w:bookmarkStart w:id="260" w:name="_Toc17007720"/>
      <w:r>
        <w:rPr>
          <w:rFonts w:hAnsi="宋体"/>
          <w:sz w:val="24"/>
          <w:szCs w:val="24"/>
        </w:rPr>
        <w:t>根据工程使用条件，当污秽等级、海拔高度等与标准技术参数表有差异或对通用部分条款有差异时，应逐项在</w:t>
      </w:r>
      <w:r>
        <w:rPr>
          <w:sz w:val="24"/>
          <w:szCs w:val="24"/>
        </w:rPr>
        <w:t>“</w:t>
      </w:r>
      <w:r>
        <w:rPr>
          <w:rFonts w:hAnsi="宋体"/>
          <w:sz w:val="24"/>
          <w:szCs w:val="24"/>
        </w:rPr>
        <w:t>表</w:t>
      </w:r>
      <w:r>
        <w:rPr>
          <w:sz w:val="24"/>
          <w:szCs w:val="24"/>
        </w:rPr>
        <w:t xml:space="preserve">7 </w:t>
      </w:r>
      <w:r>
        <w:rPr>
          <w:rFonts w:hAnsi="宋体"/>
          <w:sz w:val="24"/>
          <w:szCs w:val="24"/>
        </w:rPr>
        <w:t>项目单位技术差异表</w:t>
      </w:r>
      <w:r>
        <w:rPr>
          <w:sz w:val="24"/>
          <w:szCs w:val="24"/>
        </w:rPr>
        <w:t xml:space="preserve">” </w:t>
      </w:r>
      <w:r>
        <w:rPr>
          <w:rFonts w:hAnsi="宋体"/>
          <w:sz w:val="24"/>
          <w:szCs w:val="24"/>
        </w:rPr>
        <w:t>中列出，并以差异表给出的参数为准。投标人应对表</w:t>
      </w:r>
      <w:r>
        <w:rPr>
          <w:sz w:val="24"/>
          <w:szCs w:val="24"/>
        </w:rPr>
        <w:t>7</w:t>
      </w:r>
      <w:r>
        <w:rPr>
          <w:rFonts w:hAnsi="宋体"/>
          <w:sz w:val="24"/>
          <w:szCs w:val="24"/>
        </w:rPr>
        <w:t>的技术参数进行确认。</w:t>
      </w:r>
    </w:p>
    <w:bookmarkEnd w:id="259"/>
    <w:bookmarkEnd w:id="260"/>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6</w:t>
      </w:r>
      <w:r>
        <w:rPr>
          <w:rFonts w:hAnsi="宋体"/>
          <w:sz w:val="24"/>
          <w:szCs w:val="24"/>
        </w:rPr>
        <w:t>　</w:t>
      </w:r>
      <w:r>
        <w:rPr>
          <w:rFonts w:hint="eastAsia" w:hAnsi="宋体"/>
          <w:sz w:val="24"/>
          <w:szCs w:val="24"/>
        </w:rPr>
        <w:t xml:space="preserve">                  </w:t>
      </w:r>
      <w:r>
        <w:rPr>
          <w:rFonts w:hAnsi="宋体"/>
          <w:sz w:val="24"/>
          <w:szCs w:val="24"/>
        </w:rPr>
        <w:t>项目单位技术差异表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72"/>
        <w:gridCol w:w="1839"/>
        <w:gridCol w:w="2413"/>
        <w:gridCol w:w="2212"/>
        <w:gridCol w:w="19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rFonts w:hAnsi="宋体"/>
                <w:szCs w:val="21"/>
              </w:rPr>
              <w:t>序号</w:t>
            </w:r>
          </w:p>
        </w:tc>
        <w:tc>
          <w:tcPr>
            <w:tcW w:w="1839" w:type="dxa"/>
            <w:vAlign w:val="center"/>
          </w:tcPr>
          <w:p>
            <w:pPr>
              <w:adjustRightInd w:val="0"/>
              <w:snapToGrid w:val="0"/>
              <w:jc w:val="center"/>
              <w:rPr>
                <w:szCs w:val="21"/>
              </w:rPr>
            </w:pPr>
            <w:r>
              <w:rPr>
                <w:rFonts w:hAnsi="宋体"/>
                <w:szCs w:val="21"/>
              </w:rPr>
              <w:t>项</w:t>
            </w:r>
            <w:r>
              <w:rPr>
                <w:szCs w:val="21"/>
              </w:rPr>
              <w:t xml:space="preserve"> </w:t>
            </w:r>
            <w:r>
              <w:rPr>
                <w:rFonts w:hAnsi="宋体"/>
                <w:szCs w:val="21"/>
              </w:rPr>
              <w:t>目</w:t>
            </w:r>
          </w:p>
        </w:tc>
        <w:tc>
          <w:tcPr>
            <w:tcW w:w="2413" w:type="dxa"/>
            <w:vAlign w:val="center"/>
          </w:tcPr>
          <w:p>
            <w:pPr>
              <w:adjustRightInd w:val="0"/>
              <w:snapToGrid w:val="0"/>
              <w:jc w:val="center"/>
              <w:rPr>
                <w:szCs w:val="21"/>
              </w:rPr>
            </w:pPr>
            <w:r>
              <w:rPr>
                <w:rFonts w:hAnsi="宋体"/>
                <w:szCs w:val="21"/>
              </w:rPr>
              <w:t>标准参数值</w:t>
            </w:r>
          </w:p>
        </w:tc>
        <w:tc>
          <w:tcPr>
            <w:tcW w:w="2212" w:type="dxa"/>
            <w:vAlign w:val="center"/>
          </w:tcPr>
          <w:p>
            <w:pPr>
              <w:adjustRightInd w:val="0"/>
              <w:snapToGrid w:val="0"/>
              <w:jc w:val="center"/>
              <w:rPr>
                <w:szCs w:val="21"/>
              </w:rPr>
            </w:pPr>
            <w:r>
              <w:rPr>
                <w:rFonts w:hAnsi="宋体"/>
                <w:szCs w:val="21"/>
              </w:rPr>
              <w:t>项目单位要求值</w:t>
            </w:r>
          </w:p>
        </w:tc>
        <w:tc>
          <w:tcPr>
            <w:tcW w:w="1936" w:type="dxa"/>
            <w:vAlign w:val="center"/>
          </w:tcPr>
          <w:p>
            <w:pPr>
              <w:adjustRightInd w:val="0"/>
              <w:snapToGrid w:val="0"/>
              <w:jc w:val="center"/>
              <w:rPr>
                <w:szCs w:val="21"/>
              </w:rPr>
            </w:pPr>
            <w:r>
              <w:rPr>
                <w:rFonts w:hAnsi="宋体"/>
                <w:szCs w:val="21"/>
              </w:rPr>
              <w:t>投标人保证值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1</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2</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p>
        </w:tc>
        <w:tc>
          <w:tcPr>
            <w:tcW w:w="1839" w:type="dxa"/>
            <w:vAlign w:val="center"/>
          </w:tcPr>
          <w:p>
            <w:pPr>
              <w:adjustRightInd w:val="0"/>
              <w:snapToGrid w:val="0"/>
              <w:jc w:val="center"/>
              <w:rPr>
                <w:szCs w:val="21"/>
              </w:rPr>
            </w:pPr>
            <w:r>
              <w:rPr>
                <w:szCs w:val="21"/>
              </w:rPr>
              <w:t>……</w:t>
            </w: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rFonts w:hAnsi="宋体"/>
                <w:szCs w:val="21"/>
              </w:rPr>
              <w:t>序号</w:t>
            </w:r>
          </w:p>
        </w:tc>
        <w:tc>
          <w:tcPr>
            <w:tcW w:w="1839" w:type="dxa"/>
            <w:vAlign w:val="center"/>
          </w:tcPr>
          <w:p>
            <w:pPr>
              <w:adjustRightInd w:val="0"/>
              <w:snapToGrid w:val="0"/>
              <w:jc w:val="center"/>
              <w:rPr>
                <w:szCs w:val="21"/>
              </w:rPr>
            </w:pPr>
            <w:r>
              <w:rPr>
                <w:rFonts w:hAnsi="宋体"/>
                <w:szCs w:val="21"/>
              </w:rPr>
              <w:t>项</w:t>
            </w:r>
            <w:r>
              <w:rPr>
                <w:szCs w:val="21"/>
              </w:rPr>
              <w:t xml:space="preserve"> </w:t>
            </w:r>
            <w:r>
              <w:rPr>
                <w:rFonts w:hAnsi="宋体"/>
                <w:szCs w:val="21"/>
              </w:rPr>
              <w:t>目</w:t>
            </w:r>
          </w:p>
        </w:tc>
        <w:tc>
          <w:tcPr>
            <w:tcW w:w="2413" w:type="dxa"/>
            <w:vAlign w:val="center"/>
          </w:tcPr>
          <w:p>
            <w:pPr>
              <w:adjustRightInd w:val="0"/>
              <w:snapToGrid w:val="0"/>
              <w:jc w:val="center"/>
              <w:rPr>
                <w:szCs w:val="21"/>
              </w:rPr>
            </w:pPr>
            <w:r>
              <w:rPr>
                <w:rFonts w:hAnsi="宋体"/>
                <w:szCs w:val="21"/>
              </w:rPr>
              <w:t>变更条款页码、款号</w:t>
            </w:r>
          </w:p>
        </w:tc>
        <w:tc>
          <w:tcPr>
            <w:tcW w:w="2212" w:type="dxa"/>
            <w:vAlign w:val="center"/>
          </w:tcPr>
          <w:p>
            <w:pPr>
              <w:adjustRightInd w:val="0"/>
              <w:snapToGrid w:val="0"/>
              <w:jc w:val="center"/>
              <w:rPr>
                <w:szCs w:val="21"/>
              </w:rPr>
            </w:pPr>
            <w:r>
              <w:rPr>
                <w:rFonts w:hAnsi="宋体"/>
                <w:szCs w:val="21"/>
              </w:rPr>
              <w:t>原表达</w:t>
            </w:r>
          </w:p>
        </w:tc>
        <w:tc>
          <w:tcPr>
            <w:tcW w:w="1936" w:type="dxa"/>
            <w:vAlign w:val="center"/>
          </w:tcPr>
          <w:p>
            <w:pPr>
              <w:adjustRightInd w:val="0"/>
              <w:snapToGrid w:val="0"/>
              <w:jc w:val="center"/>
              <w:rPr>
                <w:szCs w:val="21"/>
              </w:rPr>
            </w:pPr>
            <w:r>
              <w:rPr>
                <w:rFonts w:hAnsi="宋体"/>
                <w:szCs w:val="21"/>
              </w:rPr>
              <w:t>变更后表达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1</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2</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p>
        </w:tc>
        <w:tc>
          <w:tcPr>
            <w:tcW w:w="1839" w:type="dxa"/>
            <w:vAlign w:val="center"/>
          </w:tcPr>
          <w:p>
            <w:pPr>
              <w:adjustRightInd w:val="0"/>
              <w:snapToGrid w:val="0"/>
              <w:jc w:val="center"/>
              <w:rPr>
                <w:szCs w:val="21"/>
              </w:rPr>
            </w:pPr>
            <w:r>
              <w:rPr>
                <w:szCs w:val="21"/>
              </w:rPr>
              <w:t>……</w:t>
            </w: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61" w:name="_Toc103766769"/>
      <w:bookmarkStart w:id="262" w:name="_Toc252539443"/>
      <w:bookmarkStart w:id="263" w:name="_Toc345514949"/>
      <w:bookmarkStart w:id="264" w:name="_Toc247536320"/>
      <w:bookmarkStart w:id="265" w:name="_Toc247518084"/>
      <w:r>
        <w:rPr>
          <w:b w:val="0"/>
          <w:bCs/>
          <w:snapToGrid w:val="0"/>
          <w:kern w:val="0"/>
          <w:sz w:val="24"/>
          <w:szCs w:val="24"/>
        </w:rPr>
        <w:t xml:space="preserve">2.6  </w:t>
      </w:r>
      <w:r>
        <w:rPr>
          <w:rFonts w:hAnsi="宋体"/>
          <w:b w:val="0"/>
          <w:bCs/>
          <w:snapToGrid w:val="0"/>
          <w:kern w:val="0"/>
          <w:sz w:val="24"/>
          <w:szCs w:val="24"/>
        </w:rPr>
        <w:t>设计联络会、培训及验收需求一览表</w:t>
      </w:r>
      <w:bookmarkEnd w:id="261"/>
      <w:bookmarkEnd w:id="262"/>
      <w:bookmarkEnd w:id="263"/>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7</w:t>
      </w:r>
      <w:r>
        <w:rPr>
          <w:sz w:val="24"/>
          <w:szCs w:val="24"/>
        </w:rPr>
        <w:t xml:space="preserve"> </w:t>
      </w:r>
      <w:r>
        <w:rPr>
          <w:rFonts w:hint="eastAsia"/>
          <w:sz w:val="24"/>
          <w:szCs w:val="24"/>
        </w:rPr>
        <w:t xml:space="preserve">              </w:t>
      </w:r>
      <w:r>
        <w:rPr>
          <w:rFonts w:hAnsi="宋体"/>
          <w:sz w:val="24"/>
          <w:szCs w:val="24"/>
        </w:rPr>
        <w:t>设计联络会、培训及验收需求一览表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943"/>
        <w:gridCol w:w="3346"/>
        <w:gridCol w:w="31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rFonts w:hAnsi="宋体"/>
                <w:color w:val="000000"/>
                <w:szCs w:val="21"/>
              </w:rPr>
              <w:t>序号</w:t>
            </w:r>
          </w:p>
        </w:tc>
        <w:tc>
          <w:tcPr>
            <w:tcW w:w="1943" w:type="dxa"/>
          </w:tcPr>
          <w:p>
            <w:pPr>
              <w:jc w:val="center"/>
              <w:rPr>
                <w:color w:val="000000"/>
                <w:szCs w:val="21"/>
              </w:rPr>
            </w:pPr>
            <w:r>
              <w:rPr>
                <w:rFonts w:hAnsi="宋体"/>
                <w:color w:val="000000"/>
                <w:szCs w:val="21"/>
              </w:rPr>
              <w:t>项目</w:t>
            </w:r>
          </w:p>
        </w:tc>
        <w:tc>
          <w:tcPr>
            <w:tcW w:w="3346" w:type="dxa"/>
          </w:tcPr>
          <w:p>
            <w:pPr>
              <w:jc w:val="center"/>
              <w:rPr>
                <w:color w:val="000000"/>
                <w:szCs w:val="21"/>
              </w:rPr>
            </w:pPr>
            <w:r>
              <w:rPr>
                <w:rFonts w:hAnsi="宋体"/>
                <w:color w:val="000000"/>
                <w:szCs w:val="21"/>
              </w:rPr>
              <w:t>项目单位要求</w:t>
            </w:r>
          </w:p>
        </w:tc>
        <w:tc>
          <w:tcPr>
            <w:tcW w:w="3193" w:type="dxa"/>
          </w:tcPr>
          <w:p>
            <w:pPr>
              <w:jc w:val="center"/>
              <w:rPr>
                <w:color w:val="000000"/>
                <w:szCs w:val="21"/>
              </w:rPr>
            </w:pPr>
            <w:r>
              <w:rPr>
                <w:rFonts w:hAnsi="宋体"/>
                <w:color w:val="000000"/>
                <w:szCs w:val="21"/>
              </w:rPr>
              <w:t>投标人响应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1</w:t>
            </w:r>
          </w:p>
        </w:tc>
        <w:tc>
          <w:tcPr>
            <w:tcW w:w="1943" w:type="dxa"/>
          </w:tcPr>
          <w:p>
            <w:pPr>
              <w:jc w:val="center"/>
              <w:rPr>
                <w:color w:val="000000"/>
                <w:szCs w:val="21"/>
              </w:rPr>
            </w:pPr>
            <w:r>
              <w:rPr>
                <w:rFonts w:hAnsi="宋体"/>
                <w:color w:val="000000"/>
                <w:szCs w:val="21"/>
              </w:rPr>
              <w:t>第一次设联会</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2</w:t>
            </w:r>
          </w:p>
        </w:tc>
        <w:tc>
          <w:tcPr>
            <w:tcW w:w="1943" w:type="dxa"/>
          </w:tcPr>
          <w:p>
            <w:pPr>
              <w:jc w:val="center"/>
              <w:rPr>
                <w:color w:val="000000"/>
                <w:szCs w:val="21"/>
              </w:rPr>
            </w:pPr>
            <w:r>
              <w:rPr>
                <w:rFonts w:hAnsi="宋体"/>
                <w:color w:val="000000"/>
                <w:szCs w:val="21"/>
              </w:rPr>
              <w:t>第二次设联会</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3</w:t>
            </w:r>
          </w:p>
        </w:tc>
        <w:tc>
          <w:tcPr>
            <w:tcW w:w="1943" w:type="dxa"/>
          </w:tcPr>
          <w:p>
            <w:pPr>
              <w:jc w:val="center"/>
              <w:rPr>
                <w:color w:val="000000"/>
                <w:szCs w:val="21"/>
              </w:rPr>
            </w:pPr>
            <w:r>
              <w:rPr>
                <w:rFonts w:hAnsi="宋体"/>
                <w:color w:val="000000"/>
                <w:szCs w:val="21"/>
              </w:rPr>
              <w:t>技术培训</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4</w:t>
            </w:r>
          </w:p>
        </w:tc>
        <w:tc>
          <w:tcPr>
            <w:tcW w:w="1943" w:type="dxa"/>
          </w:tcPr>
          <w:p>
            <w:pPr>
              <w:jc w:val="center"/>
              <w:rPr>
                <w:szCs w:val="21"/>
              </w:rPr>
            </w:pPr>
            <w:r>
              <w:rPr>
                <w:rFonts w:hAnsi="宋体"/>
                <w:szCs w:val="21"/>
              </w:rPr>
              <w:t>工程验收</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bl>
    <w:p>
      <w:pPr>
        <w:adjustRightInd w:val="0"/>
        <w:snapToGrid w:val="0"/>
        <w:spacing w:before="156" w:beforeLines="50" w:line="360" w:lineRule="auto"/>
        <w:ind w:firstLine="420" w:firstLineChars="200"/>
        <w:rPr>
          <w:szCs w:val="21"/>
        </w:rPr>
      </w:pPr>
      <w:r>
        <w:rPr>
          <w:rFonts w:hAnsi="宋体"/>
          <w:szCs w:val="21"/>
        </w:rPr>
        <w:t>注：项目单位可根据工程实际使用条件对表</w:t>
      </w:r>
      <w:r>
        <w:rPr>
          <w:szCs w:val="21"/>
        </w:rPr>
        <w:t>8</w:t>
      </w:r>
      <w:r>
        <w:rPr>
          <w:rFonts w:hAnsi="宋体"/>
          <w:szCs w:val="21"/>
        </w:rPr>
        <w:t>中</w:t>
      </w:r>
      <w:r>
        <w:rPr>
          <w:szCs w:val="21"/>
        </w:rPr>
        <w:t>“</w:t>
      </w:r>
      <w:r>
        <w:rPr>
          <w:rFonts w:hAnsi="宋体"/>
          <w:szCs w:val="21"/>
        </w:rPr>
        <w:t>项目单位要求</w:t>
      </w:r>
      <w:r>
        <w:rPr>
          <w:szCs w:val="21"/>
        </w:rPr>
        <w:t>”</w:t>
      </w:r>
      <w:r>
        <w:rPr>
          <w:rFonts w:hAnsi="宋体"/>
          <w:szCs w:val="21"/>
        </w:rPr>
        <w:t>进行修改。</w:t>
      </w:r>
    </w:p>
    <w:p>
      <w:pPr>
        <w:pStyle w:val="2"/>
        <w:adjustRightInd w:val="0"/>
        <w:snapToGrid w:val="0"/>
        <w:spacing w:before="0" w:after="0" w:line="360" w:lineRule="auto"/>
        <w:rPr>
          <w:bCs/>
          <w:snapToGrid w:val="0"/>
          <w:kern w:val="0"/>
          <w:sz w:val="24"/>
          <w:szCs w:val="24"/>
        </w:rPr>
      </w:pPr>
      <w:bookmarkStart w:id="266" w:name="_Toc345514950"/>
      <w:bookmarkStart w:id="267" w:name="_Toc103766770"/>
      <w:bookmarkStart w:id="268" w:name="_Toc252539444"/>
      <w:r>
        <w:rPr>
          <w:bCs/>
          <w:snapToGrid w:val="0"/>
          <w:kern w:val="0"/>
          <w:sz w:val="24"/>
          <w:szCs w:val="24"/>
        </w:rPr>
        <w:t xml:space="preserve">3  </w:t>
      </w:r>
      <w:r>
        <w:rPr>
          <w:rFonts w:hAnsi="宋体"/>
          <w:bCs/>
          <w:snapToGrid w:val="0"/>
          <w:kern w:val="0"/>
          <w:sz w:val="24"/>
          <w:szCs w:val="24"/>
        </w:rPr>
        <w:t>投标人响应部分</w:t>
      </w:r>
      <w:bookmarkEnd w:id="264"/>
      <w:bookmarkEnd w:id="265"/>
      <w:bookmarkEnd w:id="266"/>
      <w:bookmarkEnd w:id="267"/>
      <w:bookmarkEnd w:id="268"/>
    </w:p>
    <w:p>
      <w:pPr>
        <w:topLinePunct/>
        <w:adjustRightInd w:val="0"/>
        <w:snapToGrid w:val="0"/>
        <w:spacing w:line="360" w:lineRule="auto"/>
        <w:ind w:firstLine="480" w:firstLineChars="200"/>
        <w:rPr>
          <w:sz w:val="24"/>
          <w:szCs w:val="24"/>
        </w:rPr>
      </w:pPr>
      <w:r>
        <w:rPr>
          <w:rFonts w:hAnsi="宋体"/>
          <w:sz w:val="24"/>
          <w:szCs w:val="24"/>
        </w:rPr>
        <w:t>投标人需填写专用部分的第</w:t>
      </w:r>
      <w:r>
        <w:rPr>
          <w:sz w:val="24"/>
          <w:szCs w:val="24"/>
        </w:rPr>
        <w:t>1</w:t>
      </w:r>
      <w:r>
        <w:rPr>
          <w:rFonts w:hAnsi="宋体"/>
          <w:sz w:val="24"/>
          <w:szCs w:val="24"/>
        </w:rPr>
        <w:t>和第</w:t>
      </w:r>
      <w:r>
        <w:rPr>
          <w:sz w:val="24"/>
          <w:szCs w:val="24"/>
        </w:rPr>
        <w:t>2</w:t>
      </w:r>
      <w:r>
        <w:rPr>
          <w:rFonts w:hAnsi="宋体"/>
          <w:sz w:val="24"/>
          <w:szCs w:val="24"/>
        </w:rPr>
        <w:t>部分的相应表格。标准技术参数表和项目单位技术差异表中要求值不同时，以项目单位技术差异表为准。投标人保证值，不能空格，也不能以</w:t>
      </w:r>
      <w:r>
        <w:rPr>
          <w:sz w:val="24"/>
          <w:szCs w:val="24"/>
        </w:rPr>
        <w:t>“</w:t>
      </w:r>
      <w:r>
        <w:rPr>
          <w:rFonts w:hAnsi="宋体"/>
          <w:sz w:val="24"/>
          <w:szCs w:val="24"/>
        </w:rPr>
        <w:t>响应</w:t>
      </w:r>
      <w:r>
        <w:rPr>
          <w:sz w:val="24"/>
          <w:szCs w:val="24"/>
        </w:rPr>
        <w:t>”</w:t>
      </w:r>
      <w:r>
        <w:rPr>
          <w:rFonts w:hAnsi="宋体"/>
          <w:sz w:val="24"/>
          <w:szCs w:val="24"/>
        </w:rPr>
        <w:t>两字代替，不允许改动招标人要求值。如有差异，应填写投标人技术差异表。</w:t>
      </w:r>
      <w:r>
        <w:rPr>
          <w:sz w:val="24"/>
          <w:szCs w:val="24"/>
        </w:rPr>
        <w:t>“</w:t>
      </w:r>
      <w:r>
        <w:rPr>
          <w:rFonts w:hAnsi="宋体"/>
          <w:sz w:val="24"/>
          <w:szCs w:val="24"/>
        </w:rPr>
        <w:t>投标人保证值</w:t>
      </w:r>
      <w:r>
        <w:rPr>
          <w:sz w:val="24"/>
          <w:szCs w:val="24"/>
        </w:rPr>
        <w:t>”</w:t>
      </w:r>
      <w:r>
        <w:rPr>
          <w:rFonts w:hAnsi="宋体"/>
          <w:sz w:val="24"/>
          <w:szCs w:val="24"/>
        </w:rPr>
        <w:t>应与型式试验报告及其他性能试验报告相符。</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69" w:name="_Toc247518085"/>
      <w:bookmarkStart w:id="270" w:name="_Toc252539445"/>
      <w:bookmarkStart w:id="271" w:name="_Toc103766771"/>
      <w:bookmarkStart w:id="272" w:name="_Toc247536321"/>
      <w:bookmarkStart w:id="273" w:name="_Toc345514951"/>
      <w:r>
        <w:rPr>
          <w:b w:val="0"/>
          <w:bCs/>
          <w:snapToGrid w:val="0"/>
          <w:kern w:val="0"/>
          <w:sz w:val="24"/>
          <w:szCs w:val="24"/>
        </w:rPr>
        <w:t xml:space="preserve">3.1  </w:t>
      </w:r>
      <w:r>
        <w:rPr>
          <w:rFonts w:hAnsi="宋体"/>
          <w:b w:val="0"/>
          <w:bCs/>
          <w:snapToGrid w:val="0"/>
          <w:kern w:val="0"/>
          <w:sz w:val="24"/>
          <w:szCs w:val="24"/>
        </w:rPr>
        <w:t>投标人技术偏差表</w:t>
      </w:r>
      <w:bookmarkEnd w:id="269"/>
      <w:bookmarkEnd w:id="270"/>
      <w:bookmarkEnd w:id="271"/>
      <w:bookmarkEnd w:id="272"/>
      <w:bookmarkEnd w:id="273"/>
    </w:p>
    <w:p>
      <w:pPr>
        <w:topLinePunct/>
        <w:adjustRightInd w:val="0"/>
        <w:snapToGrid w:val="0"/>
        <w:spacing w:line="360" w:lineRule="auto"/>
        <w:ind w:firstLine="480" w:firstLineChars="200"/>
        <w:rPr>
          <w:sz w:val="24"/>
          <w:szCs w:val="24"/>
        </w:rPr>
      </w:pPr>
      <w:r>
        <w:rPr>
          <w:rFonts w:hAnsi="宋体"/>
          <w:sz w:val="24"/>
          <w:szCs w:val="24"/>
        </w:rPr>
        <w:t>投标人提供的产品技术规范应与本招标文件中规定的要求一致。若有偏差投标人应如实、认真地填写偏差值；若无技术偏差则视为完全满足本技术规范的要求，且在投标人技术偏差表中填写</w:t>
      </w:r>
      <w:r>
        <w:rPr>
          <w:sz w:val="24"/>
          <w:szCs w:val="24"/>
        </w:rPr>
        <w:t>“</w:t>
      </w:r>
      <w:r>
        <w:rPr>
          <w:rFonts w:hAnsi="宋体"/>
          <w:sz w:val="24"/>
          <w:szCs w:val="24"/>
        </w:rPr>
        <w:t>无偏差</w:t>
      </w:r>
      <w:r>
        <w:rPr>
          <w:sz w:val="24"/>
          <w:szCs w:val="24"/>
        </w:rPr>
        <w:t>”</w:t>
      </w:r>
      <w:r>
        <w:rPr>
          <w:rFonts w:hAnsi="宋体"/>
          <w:sz w:val="24"/>
          <w:szCs w:val="24"/>
        </w:rPr>
        <w:t>。</w:t>
      </w:r>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8</w:t>
      </w:r>
      <w:r>
        <w:rPr>
          <w:rFonts w:hAnsi="宋体"/>
          <w:sz w:val="24"/>
          <w:szCs w:val="24"/>
        </w:rPr>
        <w:t>　</w:t>
      </w:r>
      <w:r>
        <w:rPr>
          <w:rFonts w:hint="eastAsia" w:hAnsi="宋体"/>
          <w:sz w:val="24"/>
          <w:szCs w:val="24"/>
        </w:rPr>
        <w:t xml:space="preserve">                    </w:t>
      </w:r>
      <w:r>
        <w:rPr>
          <w:rFonts w:hAnsi="宋体"/>
          <w:sz w:val="24"/>
          <w:szCs w:val="24"/>
        </w:rPr>
        <w:t>投标人技术偏差表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48"/>
        <w:gridCol w:w="1903"/>
        <w:gridCol w:w="1636"/>
        <w:gridCol w:w="1920"/>
        <w:gridCol w:w="1735"/>
        <w:gridCol w:w="12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rFonts w:hAnsi="宋体"/>
                <w:szCs w:val="21"/>
              </w:rPr>
              <w:t>序号</w:t>
            </w:r>
          </w:p>
        </w:tc>
        <w:tc>
          <w:tcPr>
            <w:tcW w:w="1903" w:type="dxa"/>
            <w:tcMar>
              <w:left w:w="57" w:type="dxa"/>
              <w:right w:w="57" w:type="dxa"/>
            </w:tcMar>
            <w:vAlign w:val="center"/>
          </w:tcPr>
          <w:p>
            <w:pPr>
              <w:topLinePunct/>
              <w:jc w:val="center"/>
              <w:rPr>
                <w:szCs w:val="21"/>
              </w:rPr>
            </w:pPr>
            <w:r>
              <w:rPr>
                <w:rFonts w:hAnsi="宋体"/>
                <w:szCs w:val="21"/>
              </w:rPr>
              <w:t>项</w:t>
            </w:r>
            <w:r>
              <w:rPr>
                <w:szCs w:val="21"/>
              </w:rPr>
              <w:t xml:space="preserve">  </w:t>
            </w:r>
            <w:r>
              <w:rPr>
                <w:rFonts w:hAnsi="宋体"/>
                <w:szCs w:val="21"/>
              </w:rPr>
              <w:t>目</w:t>
            </w:r>
          </w:p>
        </w:tc>
        <w:tc>
          <w:tcPr>
            <w:tcW w:w="1636" w:type="dxa"/>
            <w:tcMar>
              <w:left w:w="57" w:type="dxa"/>
              <w:right w:w="57" w:type="dxa"/>
            </w:tcMar>
            <w:vAlign w:val="center"/>
          </w:tcPr>
          <w:p>
            <w:pPr>
              <w:topLinePunct/>
              <w:jc w:val="center"/>
              <w:rPr>
                <w:szCs w:val="21"/>
              </w:rPr>
            </w:pPr>
            <w:r>
              <w:rPr>
                <w:rFonts w:hAnsi="宋体"/>
                <w:szCs w:val="21"/>
              </w:rPr>
              <w:t>对应条款编号</w:t>
            </w:r>
          </w:p>
        </w:tc>
        <w:tc>
          <w:tcPr>
            <w:tcW w:w="1920" w:type="dxa"/>
            <w:tcMar>
              <w:left w:w="57" w:type="dxa"/>
              <w:right w:w="57" w:type="dxa"/>
            </w:tcMar>
            <w:vAlign w:val="center"/>
          </w:tcPr>
          <w:p>
            <w:pPr>
              <w:topLinePunct/>
              <w:jc w:val="center"/>
              <w:rPr>
                <w:szCs w:val="21"/>
              </w:rPr>
            </w:pPr>
            <w:r>
              <w:rPr>
                <w:rFonts w:hAnsi="宋体"/>
                <w:szCs w:val="21"/>
              </w:rPr>
              <w:t>技术招标文件要求</w:t>
            </w:r>
          </w:p>
        </w:tc>
        <w:tc>
          <w:tcPr>
            <w:tcW w:w="1735" w:type="dxa"/>
            <w:tcMar>
              <w:left w:w="57" w:type="dxa"/>
              <w:right w:w="57" w:type="dxa"/>
            </w:tcMar>
            <w:vAlign w:val="center"/>
          </w:tcPr>
          <w:p>
            <w:pPr>
              <w:topLinePunct/>
              <w:jc w:val="center"/>
              <w:rPr>
                <w:szCs w:val="21"/>
              </w:rPr>
            </w:pPr>
            <w:r>
              <w:rPr>
                <w:rFonts w:hAnsi="宋体"/>
                <w:szCs w:val="21"/>
              </w:rPr>
              <w:t>偏</w:t>
            </w:r>
            <w:r>
              <w:rPr>
                <w:szCs w:val="21"/>
              </w:rPr>
              <w:t xml:space="preserve">  </w:t>
            </w:r>
            <w:r>
              <w:rPr>
                <w:rFonts w:hAnsi="宋体"/>
                <w:szCs w:val="21"/>
              </w:rPr>
              <w:t>差</w:t>
            </w:r>
          </w:p>
        </w:tc>
        <w:tc>
          <w:tcPr>
            <w:tcW w:w="1230" w:type="dxa"/>
            <w:tcMar>
              <w:left w:w="57" w:type="dxa"/>
              <w:right w:w="57" w:type="dxa"/>
            </w:tcMar>
            <w:vAlign w:val="center"/>
          </w:tcPr>
          <w:p>
            <w:pPr>
              <w:topLinePunct/>
              <w:jc w:val="center"/>
              <w:rPr>
                <w:szCs w:val="21"/>
              </w:rPr>
            </w:pPr>
            <w:r>
              <w:rPr>
                <w:rFonts w:hAnsi="宋体"/>
                <w:szCs w:val="21"/>
              </w:rPr>
              <w:t>备</w:t>
            </w:r>
            <w:r>
              <w:rPr>
                <w:szCs w:val="21"/>
              </w:rPr>
              <w:t xml:space="preserve">  </w:t>
            </w:r>
            <w:r>
              <w:rPr>
                <w:rFonts w:hAnsi="宋体"/>
                <w:szCs w:val="21"/>
              </w:rPr>
              <w:t>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1</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2</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3</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74" w:name="_Toc345514952"/>
      <w:bookmarkStart w:id="275" w:name="_Toc252539446"/>
      <w:bookmarkStart w:id="276" w:name="_Toc247536322"/>
      <w:bookmarkStart w:id="277" w:name="_Toc247518086"/>
      <w:bookmarkStart w:id="278" w:name="_Toc103766772"/>
      <w:bookmarkStart w:id="279" w:name="_Toc155182709"/>
      <w:r>
        <w:rPr>
          <w:b w:val="0"/>
          <w:bCs/>
          <w:snapToGrid w:val="0"/>
          <w:kern w:val="0"/>
          <w:sz w:val="24"/>
          <w:szCs w:val="24"/>
        </w:rPr>
        <w:t xml:space="preserve">3.2  </w:t>
      </w:r>
      <w:r>
        <w:rPr>
          <w:rFonts w:hAnsi="宋体"/>
          <w:b w:val="0"/>
          <w:bCs/>
          <w:snapToGrid w:val="0"/>
          <w:kern w:val="0"/>
          <w:sz w:val="24"/>
          <w:szCs w:val="24"/>
        </w:rPr>
        <w:t>销售及运行业绩表</w:t>
      </w:r>
      <w:bookmarkEnd w:id="274"/>
      <w:bookmarkEnd w:id="275"/>
      <w:bookmarkEnd w:id="276"/>
      <w:bookmarkEnd w:id="277"/>
      <w:bookmarkEnd w:id="278"/>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9</w:t>
      </w:r>
      <w:r>
        <w:rPr>
          <w:sz w:val="24"/>
          <w:szCs w:val="24"/>
        </w:rPr>
        <w:t xml:space="preserve">  </w:t>
      </w:r>
      <w:r>
        <w:rPr>
          <w:rFonts w:hint="eastAsia"/>
          <w:sz w:val="24"/>
          <w:szCs w:val="24"/>
        </w:rPr>
        <w:t xml:space="preserve">                </w:t>
      </w:r>
      <w:r>
        <w:rPr>
          <w:rFonts w:hAnsi="宋体"/>
          <w:sz w:val="24"/>
          <w:szCs w:val="24"/>
        </w:rPr>
        <w:t>销售及运行业绩表</w:t>
      </w:r>
      <w:bookmarkEnd w:id="279"/>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87"/>
        <w:gridCol w:w="1486"/>
        <w:gridCol w:w="1486"/>
        <w:gridCol w:w="1486"/>
        <w:gridCol w:w="1192"/>
        <w:gridCol w:w="12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4" w:type="dxa"/>
            <w:vAlign w:val="center"/>
          </w:tcPr>
          <w:p>
            <w:pPr>
              <w:topLinePunct/>
              <w:jc w:val="center"/>
              <w:rPr>
                <w:szCs w:val="21"/>
              </w:rPr>
            </w:pPr>
            <w:r>
              <w:rPr>
                <w:rFonts w:hAnsi="宋体"/>
                <w:szCs w:val="21"/>
              </w:rPr>
              <w:t>序号</w:t>
            </w:r>
          </w:p>
        </w:tc>
        <w:tc>
          <w:tcPr>
            <w:tcW w:w="1487" w:type="dxa"/>
            <w:vAlign w:val="center"/>
          </w:tcPr>
          <w:p>
            <w:pPr>
              <w:topLinePunct/>
              <w:jc w:val="center"/>
              <w:rPr>
                <w:szCs w:val="21"/>
              </w:rPr>
            </w:pPr>
            <w:r>
              <w:rPr>
                <w:rFonts w:hAnsi="宋体"/>
                <w:szCs w:val="21"/>
              </w:rPr>
              <w:t>产品型号</w:t>
            </w:r>
          </w:p>
        </w:tc>
        <w:tc>
          <w:tcPr>
            <w:tcW w:w="1486" w:type="dxa"/>
            <w:vAlign w:val="center"/>
          </w:tcPr>
          <w:p>
            <w:pPr>
              <w:topLinePunct/>
              <w:jc w:val="center"/>
              <w:rPr>
                <w:szCs w:val="21"/>
              </w:rPr>
            </w:pPr>
            <w:r>
              <w:rPr>
                <w:rFonts w:hAnsi="宋体"/>
                <w:szCs w:val="21"/>
              </w:rPr>
              <w:t>运行单位</w:t>
            </w:r>
          </w:p>
        </w:tc>
        <w:tc>
          <w:tcPr>
            <w:tcW w:w="1486" w:type="dxa"/>
            <w:vAlign w:val="center"/>
          </w:tcPr>
          <w:p>
            <w:pPr>
              <w:topLinePunct/>
              <w:jc w:val="center"/>
              <w:rPr>
                <w:szCs w:val="21"/>
              </w:rPr>
            </w:pPr>
            <w:r>
              <w:rPr>
                <w:rFonts w:hAnsi="宋体"/>
                <w:szCs w:val="21"/>
              </w:rPr>
              <w:t>投运数量</w:t>
            </w:r>
          </w:p>
        </w:tc>
        <w:tc>
          <w:tcPr>
            <w:tcW w:w="1486" w:type="dxa"/>
            <w:vAlign w:val="center"/>
          </w:tcPr>
          <w:p>
            <w:pPr>
              <w:topLinePunct/>
              <w:jc w:val="center"/>
              <w:rPr>
                <w:szCs w:val="21"/>
              </w:rPr>
            </w:pPr>
            <w:r>
              <w:rPr>
                <w:rFonts w:hAnsi="宋体"/>
                <w:szCs w:val="21"/>
              </w:rPr>
              <w:t>投运时间</w:t>
            </w:r>
          </w:p>
        </w:tc>
        <w:tc>
          <w:tcPr>
            <w:tcW w:w="1192" w:type="dxa"/>
            <w:vAlign w:val="center"/>
          </w:tcPr>
          <w:p>
            <w:pPr>
              <w:topLinePunct/>
              <w:jc w:val="center"/>
              <w:rPr>
                <w:szCs w:val="21"/>
              </w:rPr>
            </w:pPr>
            <w:r>
              <w:rPr>
                <w:rFonts w:hAnsi="宋体"/>
                <w:szCs w:val="21"/>
              </w:rPr>
              <w:t>联系人及</w:t>
            </w:r>
            <w:r>
              <w:rPr>
                <w:szCs w:val="21"/>
              </w:rPr>
              <w:br w:type="textWrapping"/>
            </w:r>
            <w:r>
              <w:rPr>
                <w:rFonts w:hAnsi="宋体"/>
                <w:szCs w:val="21"/>
              </w:rPr>
              <w:t>电话</w:t>
            </w:r>
          </w:p>
        </w:tc>
        <w:tc>
          <w:tcPr>
            <w:tcW w:w="1231" w:type="dxa"/>
            <w:vAlign w:val="center"/>
          </w:tcPr>
          <w:p>
            <w:pPr>
              <w:topLinePunct/>
              <w:jc w:val="center"/>
              <w:rPr>
                <w:szCs w:val="21"/>
              </w:rPr>
            </w:pPr>
            <w:r>
              <w:rPr>
                <w:rFonts w:hAnsi="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80" w:name="_Toc103766773"/>
      <w:bookmarkStart w:id="281" w:name="_Toc345514953"/>
      <w:bookmarkStart w:id="282" w:name="_Toc247536323"/>
      <w:bookmarkStart w:id="283" w:name="_Toc247518087"/>
      <w:bookmarkStart w:id="284" w:name="_Toc252539447"/>
      <w:r>
        <w:rPr>
          <w:b w:val="0"/>
          <w:bCs/>
          <w:snapToGrid w:val="0"/>
          <w:kern w:val="0"/>
          <w:sz w:val="24"/>
          <w:szCs w:val="24"/>
        </w:rPr>
        <w:t xml:space="preserve">3.3  </w:t>
      </w:r>
      <w:r>
        <w:rPr>
          <w:rFonts w:hAnsi="宋体"/>
          <w:b w:val="0"/>
          <w:bCs/>
          <w:snapToGrid w:val="0"/>
          <w:kern w:val="0"/>
          <w:sz w:val="24"/>
          <w:szCs w:val="24"/>
        </w:rPr>
        <w:t>推荐的备品备件、专用工具和仪器仪表供货</w:t>
      </w:r>
      <w:bookmarkEnd w:id="280"/>
      <w:bookmarkEnd w:id="281"/>
      <w:bookmarkEnd w:id="282"/>
      <w:bookmarkEnd w:id="283"/>
      <w:bookmarkEnd w:id="284"/>
    </w:p>
    <w:p>
      <w:pPr>
        <w:adjustRightInd w:val="0"/>
        <w:snapToGrid w:val="0"/>
        <w:spacing w:line="360" w:lineRule="auto"/>
        <w:ind w:firstLine="480" w:firstLineChars="200"/>
        <w:rPr>
          <w:sz w:val="24"/>
          <w:szCs w:val="24"/>
        </w:rPr>
      </w:pPr>
      <w:bookmarkStart w:id="285" w:name="_Toc155113114"/>
      <w:bookmarkStart w:id="286" w:name="_Toc155182702"/>
      <w:r>
        <w:rPr>
          <w:rFonts w:hAnsi="宋体"/>
          <w:sz w:val="24"/>
          <w:szCs w:val="24"/>
        </w:rPr>
        <w:t>表</w:t>
      </w:r>
      <w:r>
        <w:rPr>
          <w:sz w:val="24"/>
          <w:szCs w:val="24"/>
        </w:rPr>
        <w:t>1</w:t>
      </w:r>
      <w:r>
        <w:rPr>
          <w:rFonts w:hint="eastAsia"/>
          <w:sz w:val="24"/>
          <w:szCs w:val="24"/>
        </w:rPr>
        <w:t>0</w:t>
      </w:r>
      <w:r>
        <w:rPr>
          <w:rFonts w:hAnsi="宋体"/>
          <w:sz w:val="24"/>
          <w:szCs w:val="24"/>
        </w:rPr>
        <w:t>　</w:t>
      </w:r>
      <w:r>
        <w:rPr>
          <w:rFonts w:hint="eastAsia" w:hAnsi="宋体"/>
          <w:sz w:val="24"/>
          <w:szCs w:val="24"/>
        </w:rPr>
        <w:t xml:space="preserve">        </w:t>
      </w:r>
      <w:r>
        <w:rPr>
          <w:rFonts w:hAnsi="宋体"/>
          <w:sz w:val="24"/>
          <w:szCs w:val="24"/>
        </w:rPr>
        <w:t>推荐的备品备件、专用工具和仪器仪表供货表</w:t>
      </w:r>
      <w:bookmarkEnd w:id="285"/>
      <w:bookmarkEnd w:id="286"/>
    </w:p>
    <w:tbl>
      <w:tblPr>
        <w:tblStyle w:val="9"/>
        <w:tblW w:w="92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159"/>
        <w:gridCol w:w="2980"/>
        <w:gridCol w:w="2915"/>
        <w:gridCol w:w="1140"/>
        <w:gridCol w:w="10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rFonts w:hAnsi="宋体"/>
                <w:szCs w:val="21"/>
              </w:rPr>
              <w:t>序号</w:t>
            </w:r>
          </w:p>
        </w:tc>
        <w:tc>
          <w:tcPr>
            <w:tcW w:w="2980" w:type="dxa"/>
            <w:vAlign w:val="center"/>
          </w:tcPr>
          <w:p>
            <w:pPr>
              <w:topLinePunct/>
              <w:jc w:val="center"/>
              <w:rPr>
                <w:szCs w:val="21"/>
              </w:rPr>
            </w:pPr>
            <w:r>
              <w:rPr>
                <w:rFonts w:hAnsi="宋体"/>
                <w:szCs w:val="21"/>
              </w:rPr>
              <w:t>名</w:t>
            </w:r>
            <w:r>
              <w:rPr>
                <w:szCs w:val="21"/>
              </w:rPr>
              <w:t xml:space="preserve">  </w:t>
            </w:r>
            <w:r>
              <w:rPr>
                <w:rFonts w:hAnsi="宋体"/>
                <w:szCs w:val="21"/>
              </w:rPr>
              <w:t>称</w:t>
            </w:r>
          </w:p>
        </w:tc>
        <w:tc>
          <w:tcPr>
            <w:tcW w:w="2915" w:type="dxa"/>
            <w:vAlign w:val="center"/>
          </w:tcPr>
          <w:p>
            <w:pPr>
              <w:topLinePunct/>
              <w:jc w:val="center"/>
              <w:rPr>
                <w:szCs w:val="21"/>
              </w:rPr>
            </w:pPr>
            <w:r>
              <w:rPr>
                <w:rFonts w:hAnsi="宋体"/>
                <w:szCs w:val="21"/>
              </w:rPr>
              <w:t>型号和规格</w:t>
            </w:r>
          </w:p>
        </w:tc>
        <w:tc>
          <w:tcPr>
            <w:tcW w:w="1140" w:type="dxa"/>
            <w:vAlign w:val="center"/>
          </w:tcPr>
          <w:p>
            <w:pPr>
              <w:topLinePunct/>
              <w:jc w:val="center"/>
              <w:rPr>
                <w:szCs w:val="21"/>
              </w:rPr>
            </w:pPr>
            <w:r>
              <w:rPr>
                <w:rFonts w:hAnsi="宋体"/>
                <w:szCs w:val="21"/>
              </w:rPr>
              <w:t>单位</w:t>
            </w:r>
          </w:p>
        </w:tc>
        <w:tc>
          <w:tcPr>
            <w:tcW w:w="1048" w:type="dxa"/>
            <w:vAlign w:val="center"/>
          </w:tcPr>
          <w:p>
            <w:pPr>
              <w:topLinePunct/>
              <w:jc w:val="center"/>
              <w:rPr>
                <w:szCs w:val="21"/>
              </w:rPr>
            </w:pPr>
            <w:r>
              <w:rPr>
                <w:rFonts w:hAnsi="宋体"/>
                <w:szCs w:val="21"/>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1</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2</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3</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87" w:name="_Toc252539448"/>
      <w:bookmarkStart w:id="288" w:name="_Toc247518088"/>
      <w:bookmarkStart w:id="289" w:name="_Toc345514954"/>
      <w:bookmarkStart w:id="290" w:name="_Toc247536324"/>
      <w:bookmarkStart w:id="291" w:name="_Toc103766774"/>
      <w:r>
        <w:rPr>
          <w:b w:val="0"/>
          <w:bCs/>
          <w:snapToGrid w:val="0"/>
          <w:kern w:val="0"/>
          <w:sz w:val="24"/>
          <w:szCs w:val="24"/>
        </w:rPr>
        <w:t xml:space="preserve">3.4  </w:t>
      </w:r>
      <w:r>
        <w:rPr>
          <w:rFonts w:hAnsi="宋体"/>
          <w:b w:val="0"/>
          <w:bCs/>
          <w:snapToGrid w:val="0"/>
          <w:kern w:val="0"/>
          <w:sz w:val="24"/>
          <w:szCs w:val="24"/>
        </w:rPr>
        <w:t>最终用户的使用情况证明</w:t>
      </w:r>
      <w:bookmarkEnd w:id="287"/>
      <w:bookmarkEnd w:id="288"/>
      <w:bookmarkEnd w:id="289"/>
      <w:bookmarkEnd w:id="290"/>
      <w:bookmarkEnd w:id="291"/>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92" w:name="_Toc247536325"/>
      <w:bookmarkStart w:id="293" w:name="_Toc345514955"/>
      <w:bookmarkStart w:id="294" w:name="_Toc247518089"/>
      <w:bookmarkStart w:id="295" w:name="_Toc252539449"/>
      <w:bookmarkStart w:id="296" w:name="_Toc103766775"/>
      <w:r>
        <w:rPr>
          <w:b w:val="0"/>
          <w:bCs/>
          <w:snapToGrid w:val="0"/>
          <w:kern w:val="0"/>
          <w:sz w:val="24"/>
          <w:szCs w:val="24"/>
        </w:rPr>
        <w:t xml:space="preserve">3.5  </w:t>
      </w:r>
      <w:r>
        <w:rPr>
          <w:rFonts w:hAnsi="宋体"/>
          <w:b w:val="0"/>
          <w:bCs/>
          <w:snapToGrid w:val="0"/>
          <w:kern w:val="0"/>
          <w:sz w:val="24"/>
          <w:szCs w:val="24"/>
        </w:rPr>
        <w:t>投标人提供的试验检测报告表</w:t>
      </w:r>
      <w:bookmarkEnd w:id="292"/>
      <w:bookmarkEnd w:id="293"/>
      <w:bookmarkEnd w:id="294"/>
      <w:bookmarkEnd w:id="295"/>
      <w:bookmarkEnd w:id="296"/>
    </w:p>
    <w:p>
      <w:pPr>
        <w:adjustRightInd w:val="0"/>
        <w:snapToGrid w:val="0"/>
        <w:spacing w:line="360" w:lineRule="auto"/>
        <w:ind w:firstLine="480" w:firstLineChars="200"/>
        <w:rPr>
          <w:sz w:val="24"/>
          <w:szCs w:val="24"/>
        </w:rPr>
      </w:pPr>
      <w:r>
        <w:rPr>
          <w:rFonts w:hAnsi="宋体"/>
          <w:sz w:val="24"/>
          <w:szCs w:val="24"/>
        </w:rPr>
        <w:t>表</w:t>
      </w:r>
      <w:r>
        <w:rPr>
          <w:sz w:val="24"/>
          <w:szCs w:val="24"/>
        </w:rPr>
        <w:t>1</w:t>
      </w:r>
      <w:r>
        <w:rPr>
          <w:rFonts w:hint="eastAsia"/>
          <w:sz w:val="24"/>
          <w:szCs w:val="24"/>
        </w:rPr>
        <w:t>1</w:t>
      </w:r>
      <w:r>
        <w:rPr>
          <w:sz w:val="24"/>
          <w:szCs w:val="24"/>
        </w:rPr>
        <w:t xml:space="preserve"> </w:t>
      </w:r>
      <w:r>
        <w:rPr>
          <w:rFonts w:hint="eastAsia"/>
          <w:sz w:val="24"/>
          <w:szCs w:val="24"/>
        </w:rPr>
        <w:t xml:space="preserve">              </w:t>
      </w:r>
      <w:r>
        <w:rPr>
          <w:rFonts w:hAnsi="宋体"/>
          <w:sz w:val="24"/>
          <w:szCs w:val="24"/>
        </w:rPr>
        <w:t>投标人提供的试验检测报告表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084"/>
        <w:gridCol w:w="1526"/>
        <w:gridCol w:w="1526"/>
        <w:gridCol w:w="1527"/>
        <w:gridCol w:w="15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szCs w:val="21"/>
              </w:rPr>
            </w:pPr>
            <w:r>
              <w:rPr>
                <w:rFonts w:hAnsi="宋体"/>
                <w:szCs w:val="21"/>
              </w:rPr>
              <w:t>序号</w:t>
            </w:r>
          </w:p>
        </w:tc>
        <w:tc>
          <w:tcPr>
            <w:tcW w:w="2084" w:type="dxa"/>
            <w:vAlign w:val="center"/>
          </w:tcPr>
          <w:p>
            <w:pPr>
              <w:topLinePunct/>
              <w:spacing w:before="40" w:after="40"/>
              <w:jc w:val="center"/>
              <w:rPr>
                <w:szCs w:val="21"/>
              </w:rPr>
            </w:pPr>
            <w:r>
              <w:rPr>
                <w:rFonts w:hAnsi="宋体"/>
                <w:szCs w:val="21"/>
              </w:rPr>
              <w:t>产品型号名称</w:t>
            </w:r>
          </w:p>
        </w:tc>
        <w:tc>
          <w:tcPr>
            <w:tcW w:w="1526" w:type="dxa"/>
            <w:vAlign w:val="center"/>
          </w:tcPr>
          <w:p>
            <w:pPr>
              <w:topLinePunct/>
              <w:spacing w:before="40" w:after="40"/>
              <w:jc w:val="center"/>
              <w:rPr>
                <w:rFonts w:hAnsi="宋体"/>
                <w:szCs w:val="21"/>
              </w:rPr>
            </w:pPr>
            <w:r>
              <w:rPr>
                <w:rFonts w:hAnsi="宋体"/>
                <w:szCs w:val="21"/>
              </w:rPr>
              <w:t>试验报告</w:t>
            </w:r>
          </w:p>
          <w:p>
            <w:pPr>
              <w:topLinePunct/>
              <w:spacing w:before="40" w:after="40"/>
              <w:jc w:val="center"/>
              <w:rPr>
                <w:szCs w:val="21"/>
              </w:rPr>
            </w:pPr>
            <w:r>
              <w:rPr>
                <w:rFonts w:hAnsi="宋体"/>
                <w:szCs w:val="21"/>
              </w:rPr>
              <w:t>类别和内容</w:t>
            </w:r>
          </w:p>
        </w:tc>
        <w:tc>
          <w:tcPr>
            <w:tcW w:w="1526" w:type="dxa"/>
            <w:vAlign w:val="center"/>
          </w:tcPr>
          <w:p>
            <w:pPr>
              <w:topLinePunct/>
              <w:spacing w:before="40" w:after="40"/>
              <w:jc w:val="center"/>
              <w:rPr>
                <w:szCs w:val="21"/>
              </w:rPr>
            </w:pPr>
            <w:r>
              <w:rPr>
                <w:rFonts w:hAnsi="宋体"/>
                <w:szCs w:val="21"/>
              </w:rPr>
              <w:t>依据标准</w:t>
            </w:r>
          </w:p>
        </w:tc>
        <w:tc>
          <w:tcPr>
            <w:tcW w:w="1527" w:type="dxa"/>
            <w:vAlign w:val="center"/>
          </w:tcPr>
          <w:p>
            <w:pPr>
              <w:topLinePunct/>
              <w:spacing w:before="40" w:after="40"/>
              <w:jc w:val="center"/>
              <w:rPr>
                <w:szCs w:val="21"/>
              </w:rPr>
            </w:pPr>
            <w:r>
              <w:rPr>
                <w:rFonts w:hAnsi="宋体"/>
                <w:szCs w:val="21"/>
              </w:rPr>
              <w:t>试验时间</w:t>
            </w:r>
          </w:p>
        </w:tc>
        <w:tc>
          <w:tcPr>
            <w:tcW w:w="1571" w:type="dxa"/>
            <w:vAlign w:val="center"/>
          </w:tcPr>
          <w:p>
            <w:pPr>
              <w:topLinePunct/>
              <w:spacing w:before="40" w:after="40"/>
              <w:jc w:val="center"/>
              <w:rPr>
                <w:szCs w:val="21"/>
              </w:rPr>
            </w:pPr>
            <w:r>
              <w:rPr>
                <w:rFonts w:hAnsi="宋体"/>
                <w:szCs w:val="21"/>
              </w:rPr>
              <w:t>试验单位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b/>
                <w:szCs w:val="21"/>
              </w:rPr>
            </w:pPr>
          </w:p>
        </w:tc>
        <w:tc>
          <w:tcPr>
            <w:tcW w:w="2084"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7" w:type="dxa"/>
            <w:vAlign w:val="center"/>
          </w:tcPr>
          <w:p>
            <w:pPr>
              <w:topLinePunct/>
              <w:spacing w:before="40" w:after="40"/>
              <w:jc w:val="center"/>
              <w:rPr>
                <w:b/>
                <w:szCs w:val="21"/>
              </w:rPr>
            </w:pPr>
          </w:p>
        </w:tc>
        <w:tc>
          <w:tcPr>
            <w:tcW w:w="1571" w:type="dxa"/>
            <w:vAlign w:val="center"/>
          </w:tcPr>
          <w:p>
            <w:pPr>
              <w:topLinePunct/>
              <w:spacing w:before="40" w:after="40"/>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b/>
                <w:szCs w:val="21"/>
              </w:rPr>
            </w:pPr>
          </w:p>
        </w:tc>
        <w:tc>
          <w:tcPr>
            <w:tcW w:w="2084"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7" w:type="dxa"/>
            <w:vAlign w:val="center"/>
          </w:tcPr>
          <w:p>
            <w:pPr>
              <w:topLinePunct/>
              <w:spacing w:before="40" w:after="40"/>
              <w:jc w:val="center"/>
              <w:rPr>
                <w:b/>
                <w:szCs w:val="21"/>
              </w:rPr>
            </w:pPr>
          </w:p>
        </w:tc>
        <w:tc>
          <w:tcPr>
            <w:tcW w:w="1571" w:type="dxa"/>
            <w:vAlign w:val="center"/>
          </w:tcPr>
          <w:p>
            <w:pPr>
              <w:topLinePunct/>
              <w:spacing w:before="40" w:after="40"/>
              <w:jc w:val="center"/>
              <w:rPr>
                <w:b/>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97" w:name="_Toc103766776"/>
      <w:bookmarkStart w:id="298" w:name="_Toc252539450"/>
      <w:bookmarkStart w:id="299" w:name="_Toc345514956"/>
      <w:bookmarkStart w:id="300" w:name="_Toc247518090"/>
      <w:bookmarkStart w:id="301" w:name="_Toc247536326"/>
      <w:r>
        <w:rPr>
          <w:b w:val="0"/>
          <w:bCs/>
          <w:snapToGrid w:val="0"/>
          <w:kern w:val="0"/>
          <w:sz w:val="24"/>
          <w:szCs w:val="24"/>
        </w:rPr>
        <w:t xml:space="preserve">3.6  </w:t>
      </w:r>
      <w:r>
        <w:rPr>
          <w:rFonts w:hAnsi="宋体"/>
          <w:b w:val="0"/>
          <w:bCs/>
          <w:snapToGrid w:val="0"/>
          <w:kern w:val="0"/>
          <w:sz w:val="24"/>
          <w:szCs w:val="24"/>
        </w:rPr>
        <w:t>投标人提供的鉴定证书表</w:t>
      </w:r>
      <w:bookmarkEnd w:id="297"/>
      <w:bookmarkEnd w:id="298"/>
      <w:bookmarkEnd w:id="299"/>
      <w:bookmarkEnd w:id="300"/>
      <w:bookmarkEnd w:id="301"/>
    </w:p>
    <w:p>
      <w:pPr>
        <w:adjustRightInd w:val="0"/>
        <w:snapToGrid w:val="0"/>
        <w:spacing w:line="360" w:lineRule="auto"/>
        <w:ind w:firstLine="480" w:firstLineChars="200"/>
        <w:rPr>
          <w:sz w:val="24"/>
          <w:szCs w:val="24"/>
        </w:rPr>
      </w:pPr>
      <w:r>
        <w:rPr>
          <w:rFonts w:hAnsi="宋体"/>
          <w:sz w:val="24"/>
          <w:szCs w:val="24"/>
        </w:rPr>
        <w:t>表</w:t>
      </w:r>
      <w:r>
        <w:rPr>
          <w:sz w:val="24"/>
          <w:szCs w:val="24"/>
        </w:rPr>
        <w:t>1</w:t>
      </w:r>
      <w:r>
        <w:rPr>
          <w:rFonts w:hint="eastAsia"/>
          <w:sz w:val="24"/>
          <w:szCs w:val="24"/>
        </w:rPr>
        <w:t>2</w:t>
      </w:r>
      <w:r>
        <w:rPr>
          <w:sz w:val="24"/>
          <w:szCs w:val="24"/>
        </w:rPr>
        <w:t xml:space="preserve"> </w:t>
      </w:r>
      <w:r>
        <w:rPr>
          <w:rFonts w:hint="eastAsia"/>
          <w:sz w:val="24"/>
          <w:szCs w:val="24"/>
        </w:rPr>
        <w:t xml:space="preserve">                 </w:t>
      </w:r>
      <w:r>
        <w:rPr>
          <w:rFonts w:hAnsi="宋体"/>
          <w:sz w:val="24"/>
          <w:szCs w:val="24"/>
        </w:rPr>
        <w:t>投标人提供的鉴定证书表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678"/>
        <w:gridCol w:w="1833"/>
        <w:gridCol w:w="1833"/>
        <w:gridCol w:w="18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szCs w:val="21"/>
              </w:rPr>
            </w:pPr>
            <w:r>
              <w:rPr>
                <w:rFonts w:hAnsi="宋体"/>
                <w:szCs w:val="21"/>
              </w:rPr>
              <w:t>序号</w:t>
            </w:r>
          </w:p>
        </w:tc>
        <w:tc>
          <w:tcPr>
            <w:tcW w:w="2678" w:type="dxa"/>
            <w:vAlign w:val="center"/>
          </w:tcPr>
          <w:p>
            <w:pPr>
              <w:topLinePunct/>
              <w:spacing w:before="40" w:after="40"/>
              <w:jc w:val="center"/>
              <w:rPr>
                <w:szCs w:val="21"/>
              </w:rPr>
            </w:pPr>
            <w:r>
              <w:rPr>
                <w:rFonts w:hAnsi="宋体"/>
                <w:szCs w:val="21"/>
              </w:rPr>
              <w:t>鉴定产品型号名称</w:t>
            </w:r>
          </w:p>
        </w:tc>
        <w:tc>
          <w:tcPr>
            <w:tcW w:w="1833" w:type="dxa"/>
            <w:vAlign w:val="center"/>
          </w:tcPr>
          <w:p>
            <w:pPr>
              <w:topLinePunct/>
              <w:spacing w:before="40" w:after="40"/>
              <w:jc w:val="center"/>
              <w:rPr>
                <w:szCs w:val="21"/>
              </w:rPr>
            </w:pPr>
            <w:r>
              <w:rPr>
                <w:rFonts w:hAnsi="宋体"/>
                <w:szCs w:val="21"/>
              </w:rPr>
              <w:t>组织鉴定单位</w:t>
            </w:r>
          </w:p>
        </w:tc>
        <w:tc>
          <w:tcPr>
            <w:tcW w:w="1833" w:type="dxa"/>
            <w:vAlign w:val="center"/>
          </w:tcPr>
          <w:p>
            <w:pPr>
              <w:topLinePunct/>
              <w:spacing w:before="40" w:after="40"/>
              <w:jc w:val="center"/>
              <w:rPr>
                <w:szCs w:val="21"/>
              </w:rPr>
            </w:pPr>
            <w:r>
              <w:rPr>
                <w:rFonts w:hAnsi="宋体"/>
                <w:szCs w:val="21"/>
              </w:rPr>
              <w:t>依据标准</w:t>
            </w:r>
          </w:p>
        </w:tc>
        <w:tc>
          <w:tcPr>
            <w:tcW w:w="1833" w:type="dxa"/>
            <w:vAlign w:val="center"/>
          </w:tcPr>
          <w:p>
            <w:pPr>
              <w:topLinePunct/>
              <w:spacing w:before="40" w:after="40"/>
              <w:jc w:val="center"/>
              <w:rPr>
                <w:szCs w:val="21"/>
              </w:rPr>
            </w:pPr>
            <w:r>
              <w:rPr>
                <w:rFonts w:hAnsi="宋体"/>
                <w:szCs w:val="21"/>
              </w:rPr>
              <w:t>鉴定时间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b/>
                <w:szCs w:val="21"/>
              </w:rPr>
            </w:pPr>
          </w:p>
        </w:tc>
        <w:tc>
          <w:tcPr>
            <w:tcW w:w="2678"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b/>
                <w:szCs w:val="21"/>
              </w:rPr>
            </w:pPr>
          </w:p>
        </w:tc>
        <w:tc>
          <w:tcPr>
            <w:tcW w:w="2678"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r>
      <w:bookmarkEnd w:id="234"/>
    </w:tbl>
    <w:p/>
    <w:sectPr>
      <w:headerReference r:id="rId6" w:type="default"/>
      <w:footerReference r:id="rId7" w:type="default"/>
      <w:pgSz w:w="11907" w:h="16840"/>
      <w:pgMar w:top="1474" w:right="1418" w:bottom="1418" w:left="1418" w:header="1021" w:footer="1021"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U-F1">
    <w:altName w:val="宋体"/>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pPr>
    <w:r>
      <w:fldChar w:fldCharType="begin"/>
    </w:r>
    <w:r>
      <w:rPr>
        <w:rStyle w:val="11"/>
      </w:rPr>
      <w:instrText xml:space="preserve"> PAGE </w:instrText>
    </w:r>
    <w:r>
      <w:fldChar w:fldCharType="separate"/>
    </w:r>
    <w:r>
      <w:rPr>
        <w:rStyle w:val="11"/>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hZGMzNTkwNWJkODc0ZmRhN2FkMzZjNDM5MjgzODEifQ=="/>
  </w:docVars>
  <w:rsids>
    <w:rsidRoot w:val="01EC6E50"/>
    <w:rsid w:val="0005249E"/>
    <w:rsid w:val="00070680"/>
    <w:rsid w:val="000A06AE"/>
    <w:rsid w:val="000B6B70"/>
    <w:rsid w:val="00103BB8"/>
    <w:rsid w:val="00104DFB"/>
    <w:rsid w:val="001231AC"/>
    <w:rsid w:val="00186F52"/>
    <w:rsid w:val="001C4012"/>
    <w:rsid w:val="002055F2"/>
    <w:rsid w:val="002C1C98"/>
    <w:rsid w:val="002C2FCE"/>
    <w:rsid w:val="002E43F6"/>
    <w:rsid w:val="003018F3"/>
    <w:rsid w:val="00495AFC"/>
    <w:rsid w:val="00525A0D"/>
    <w:rsid w:val="005656AB"/>
    <w:rsid w:val="005B01D9"/>
    <w:rsid w:val="005E16B9"/>
    <w:rsid w:val="0063214C"/>
    <w:rsid w:val="00633816"/>
    <w:rsid w:val="00696598"/>
    <w:rsid w:val="007A718E"/>
    <w:rsid w:val="008257F6"/>
    <w:rsid w:val="00833EBC"/>
    <w:rsid w:val="00840F97"/>
    <w:rsid w:val="00875694"/>
    <w:rsid w:val="008A213E"/>
    <w:rsid w:val="008B25D8"/>
    <w:rsid w:val="008E2C10"/>
    <w:rsid w:val="00940C09"/>
    <w:rsid w:val="00960D0B"/>
    <w:rsid w:val="00993B5F"/>
    <w:rsid w:val="009D0F51"/>
    <w:rsid w:val="00A07471"/>
    <w:rsid w:val="00A35FB5"/>
    <w:rsid w:val="00AA7118"/>
    <w:rsid w:val="00AB6E11"/>
    <w:rsid w:val="00AF4D11"/>
    <w:rsid w:val="00B051B7"/>
    <w:rsid w:val="00B12C55"/>
    <w:rsid w:val="00B345FE"/>
    <w:rsid w:val="00B51FDA"/>
    <w:rsid w:val="00BE0D87"/>
    <w:rsid w:val="00C67E0F"/>
    <w:rsid w:val="00CF4488"/>
    <w:rsid w:val="00D32F1D"/>
    <w:rsid w:val="00D66C6A"/>
    <w:rsid w:val="00D913A1"/>
    <w:rsid w:val="00D97BAA"/>
    <w:rsid w:val="00DF1567"/>
    <w:rsid w:val="00E46B9B"/>
    <w:rsid w:val="00E54693"/>
    <w:rsid w:val="00E66891"/>
    <w:rsid w:val="00ED6F1F"/>
    <w:rsid w:val="00EE5657"/>
    <w:rsid w:val="00F54A46"/>
    <w:rsid w:val="00F812F2"/>
    <w:rsid w:val="00FB3EA1"/>
    <w:rsid w:val="00FC0130"/>
    <w:rsid w:val="00FF7DF7"/>
    <w:rsid w:val="01EC6E50"/>
    <w:rsid w:val="0F7D35D7"/>
    <w:rsid w:val="10981C91"/>
    <w:rsid w:val="11AB2910"/>
    <w:rsid w:val="11EB564F"/>
    <w:rsid w:val="13764861"/>
    <w:rsid w:val="16AC0629"/>
    <w:rsid w:val="1AA265EF"/>
    <w:rsid w:val="2407259B"/>
    <w:rsid w:val="2E7A51CD"/>
    <w:rsid w:val="619B673B"/>
    <w:rsid w:val="6292554C"/>
    <w:rsid w:val="69982ED4"/>
    <w:rsid w:val="7EF54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line="500" w:lineRule="exact"/>
      <w:ind w:firstLine="420"/>
    </w:pPr>
    <w:rPr>
      <w:sz w:val="28"/>
    </w:rPr>
  </w:style>
  <w:style w:type="paragraph" w:styleId="5">
    <w:name w:val="Body Text Indent"/>
    <w:basedOn w:val="1"/>
    <w:qFormat/>
    <w:uiPriority w:val="0"/>
    <w:pPr>
      <w:autoSpaceDE w:val="0"/>
      <w:autoSpaceDN w:val="0"/>
      <w:adjustRightInd w:val="0"/>
      <w:spacing w:line="360" w:lineRule="auto"/>
      <w:ind w:firstLine="480"/>
      <w:jc w:val="left"/>
      <w:textAlignment w:val="baseline"/>
    </w:pPr>
    <w:rPr>
      <w:kern w:val="0"/>
      <w:sz w:val="24"/>
    </w:rPr>
  </w:style>
  <w:style w:type="paragraph" w:styleId="6">
    <w:name w:val="footer"/>
    <w:basedOn w:val="1"/>
    <w:qFormat/>
    <w:uiPriority w:val="0"/>
    <w:pPr>
      <w:tabs>
        <w:tab w:val="center" w:pos="4153"/>
        <w:tab w:val="right" w:pos="8306"/>
      </w:tabs>
      <w:autoSpaceDE w:val="0"/>
      <w:autoSpaceDN w:val="0"/>
      <w:adjustRightInd w:val="0"/>
      <w:jc w:val="left"/>
      <w:textAlignment w:val="baseline"/>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toc 1"/>
    <w:basedOn w:val="1"/>
    <w:next w:val="1"/>
    <w:qFormat/>
    <w:uiPriority w:val="39"/>
    <w:pPr>
      <w:spacing w:before="120" w:after="120"/>
      <w:jc w:val="left"/>
    </w:pPr>
    <w:rPr>
      <w:b/>
      <w:bCs/>
      <w:caps/>
      <w:sz w:val="20"/>
    </w:rPr>
  </w:style>
  <w:style w:type="character" w:styleId="11">
    <w:name w:val="page number"/>
    <w:qFormat/>
    <w:uiPriority w:val="0"/>
    <w:rPr>
      <w:sz w:val="20"/>
    </w:rPr>
  </w:style>
  <w:style w:type="character" w:styleId="12">
    <w:name w:val="Hyperlink"/>
    <w:qFormat/>
    <w:uiPriority w:val="99"/>
    <w:rPr>
      <w:color w:val="0000FF"/>
      <w:u w:val="single"/>
    </w:rPr>
  </w:style>
  <w:style w:type="paragraph" w:customStyle="1" w:styleId="13">
    <w:name w:val="样式1"/>
    <w:qFormat/>
    <w:uiPriority w:val="0"/>
    <w:pPr>
      <w:spacing w:line="480" w:lineRule="auto"/>
    </w:pPr>
    <w:rPr>
      <w:rFonts w:ascii="EU-F1" w:hAnsi="Times New Roman" w:eastAsia="黑体" w:cs="Times New Roman"/>
      <w:color w:val="000000"/>
      <w:kern w:val="44"/>
      <w:sz w:val="21"/>
      <w:szCs w:val="21"/>
      <w:lang w:val="en-US" w:eastAsia="zh-CN" w:bidi="ar-SA"/>
    </w:rPr>
  </w:style>
  <w:style w:type="paragraph" w:customStyle="1" w:styleId="14">
    <w:name w:val="Char"/>
    <w:basedOn w:val="1"/>
    <w:qFormat/>
    <w:uiPriority w:val="0"/>
  </w:style>
  <w:style w:type="paragraph" w:customStyle="1" w:styleId="15">
    <w:name w:val="表头"/>
    <w:basedOn w:val="1"/>
    <w:qFormat/>
    <w:uiPriority w:val="0"/>
    <w:pPr>
      <w:spacing w:before="160" w:after="60" w:line="312" w:lineRule="exact"/>
      <w:jc w:val="center"/>
    </w:pPr>
    <w:rPr>
      <w:rFonts w:ascii="EU-F1" w:eastAsia="黑体"/>
      <w:szCs w:val="21"/>
    </w:rPr>
  </w:style>
  <w:style w:type="paragraph" w:customStyle="1" w:styleId="16">
    <w:name w:val="样式2"/>
    <w:qFormat/>
    <w:uiPriority w:val="0"/>
    <w:pPr>
      <w:widowControl w:val="0"/>
      <w:spacing w:line="312" w:lineRule="exact"/>
      <w:jc w:val="both"/>
    </w:pPr>
    <w:rPr>
      <w:rFonts w:ascii="EU-F1" w:hAnsi="Times New Roman" w:eastAsia="黑体" w:cs="Times New Roman"/>
      <w:color w:val="000000"/>
      <w:kern w:val="2"/>
      <w:sz w:val="21"/>
      <w:szCs w:val="21"/>
      <w:lang w:val="en-US" w:eastAsia="zh-CN" w:bidi="ar-SA"/>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正文"/>
    <w:basedOn w:val="1"/>
    <w:qFormat/>
    <w:uiPriority w:val="0"/>
    <w:pPr>
      <w:spacing w:line="360" w:lineRule="auto"/>
      <w:ind w:firstLine="200" w:firstLineChars="200"/>
    </w:pPr>
    <w:rPr>
      <w:rFonts w:ascii="Calibri" w:hAnsi="Calibri"/>
      <w:sz w:val="24"/>
      <w:szCs w:val="22"/>
    </w:rPr>
  </w:style>
  <w:style w:type="paragraph" w:customStyle="1" w:styleId="19">
    <w:name w:val="默认段落字体 Para Char Char Char Char Char"/>
    <w:basedOn w:val="1"/>
    <w:qFormat/>
    <w:uiPriority w:val="0"/>
    <w:rPr>
      <w:rFonts w:ascii="宋体" w:hAns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60208-3A51-462A-9494-BEBA875E5F8D}">
  <ds:schemaRefs/>
</ds:datastoreItem>
</file>

<file path=docProps/app.xml><?xml version="1.0" encoding="utf-8"?>
<Properties xmlns="http://schemas.openxmlformats.org/officeDocument/2006/extended-properties" xmlns:vt="http://schemas.openxmlformats.org/officeDocument/2006/docPropsVTypes">
  <Template>Normal</Template>
  <Pages>21</Pages>
  <Words>2015</Words>
  <Characters>11486</Characters>
  <Lines>95</Lines>
  <Paragraphs>26</Paragraphs>
  <TotalTime>8</TotalTime>
  <ScaleCrop>false</ScaleCrop>
  <LinksUpToDate>false</LinksUpToDate>
  <CharactersWithSpaces>13475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2022-05-08T02:34:00Z</dcterms:created>
  <dc:creator>荣卫方</dc:creator>
  <cp:lastModifiedBy>东方不败</cp:lastModifiedBy>
  <dcterms:modified xsi:type="dcterms:W3CDTF">2022-06-24T09:05:55Z</dcterms:modified>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0A8D16B6101241F2995B05B5DF6F421C</vt:lpwstr>
  </property>
</Properties>
</file>