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tabs>
          <w:tab w:val="left" w:pos="1512"/>
        </w:tabs>
        <w:jc w:val="center"/>
        <w:rPr>
          <w:rFonts w:hint="eastAsia" w:ascii="宋体" w:hAnsi="宋体" w:cs="宋体"/>
          <w:b/>
          <w:kern w:val="0"/>
          <w:sz w:val="28"/>
        </w:rPr>
      </w:pPr>
      <w:r>
        <w:rPr>
          <w:rFonts w:hint="eastAsia" w:ascii="宋体" w:hAnsi="宋体" w:cs="宋体"/>
          <w:b/>
          <w:kern w:val="0"/>
          <w:sz w:val="28"/>
        </w:rPr>
        <w:t>内蒙古电力（集团）有限责任公司</w:t>
      </w:r>
      <w:r>
        <w:rPr>
          <w:rFonts w:hint="eastAsia" w:ascii="宋体" w:hAnsi="宋体" w:cs="宋体"/>
          <w:b/>
          <w:kern w:val="0"/>
          <w:sz w:val="28"/>
          <w:lang w:eastAsia="zh-CN"/>
        </w:rPr>
        <w:t>电力调度控制分公司大电网运行关键指标体系建设项目</w:t>
      </w:r>
      <w:r>
        <w:rPr>
          <w:rFonts w:hint="eastAsia" w:ascii="宋体" w:hAnsi="宋体" w:cs="宋体"/>
          <w:b/>
          <w:kern w:val="0"/>
          <w:sz w:val="28"/>
        </w:rPr>
        <w:t>询比采购</w:t>
      </w:r>
      <w:r>
        <w:rPr>
          <w:rFonts w:hint="eastAsia" w:ascii="宋体" w:hAnsi="宋体" w:cs="宋体"/>
          <w:b/>
          <w:kern w:val="0"/>
          <w:sz w:val="28"/>
          <w:lang w:eastAsia="zh-CN"/>
        </w:rPr>
        <w:t>）（</w:t>
      </w:r>
      <w:r>
        <w:rPr>
          <w:rFonts w:hint="eastAsia" w:ascii="宋体" w:hAnsi="宋体" w:cs="宋体"/>
          <w:b/>
          <w:kern w:val="0"/>
          <w:sz w:val="28"/>
          <w:lang w:val="en-US" w:eastAsia="zh-CN"/>
        </w:rPr>
        <w:t>重新采购</w:t>
      </w:r>
      <w:r>
        <w:rPr>
          <w:rFonts w:hint="eastAsia" w:ascii="宋体" w:hAnsi="宋体" w:cs="宋体"/>
          <w:b/>
          <w:kern w:val="0"/>
          <w:sz w:val="28"/>
          <w:lang w:eastAsia="zh-CN"/>
        </w:rPr>
        <w:t>）</w:t>
      </w:r>
      <w:r>
        <w:rPr>
          <w:rFonts w:hint="eastAsia" w:ascii="宋体" w:hAnsi="宋体" w:cs="宋体"/>
          <w:b/>
          <w:kern w:val="0"/>
          <w:sz w:val="28"/>
        </w:rPr>
        <w:t>-公告附表</w:t>
      </w:r>
    </w:p>
    <w:p>
      <w:pPr>
        <w:widowControl/>
        <w:spacing w:line="360" w:lineRule="auto"/>
        <w:jc w:val="center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项目编号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/>
          <w:sz w:val="24"/>
          <w:lang w:eastAsia="zh-CN"/>
        </w:rPr>
        <w:t>YS-2206-DL</w:t>
      </w:r>
    </w:p>
    <w:tbl>
      <w:tblPr>
        <w:tblStyle w:val="8"/>
        <w:tblW w:w="13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51"/>
        <w:gridCol w:w="1924"/>
        <w:gridCol w:w="1412"/>
        <w:gridCol w:w="1276"/>
        <w:gridCol w:w="5358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分项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  <w:lang w:val="en-US" w:eastAsia="zh-CN"/>
              </w:rPr>
              <w:t>服务内容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分项最高限价（</w:t>
            </w:r>
            <w:r>
              <w:rPr>
                <w:rFonts w:ascii="宋体" w:hAnsi="宋体"/>
                <w:b/>
                <w:sz w:val="24"/>
                <w:szCs w:val="21"/>
              </w:rPr>
              <w:t>元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标段最高限价（</w:t>
            </w:r>
            <w:r>
              <w:rPr>
                <w:rFonts w:ascii="宋体" w:hAnsi="宋体"/>
                <w:b/>
                <w:sz w:val="24"/>
                <w:szCs w:val="21"/>
              </w:rPr>
              <w:t>元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1"/>
              </w:rPr>
              <w:t>）</w:t>
            </w:r>
          </w:p>
        </w:tc>
        <w:tc>
          <w:tcPr>
            <w:tcW w:w="535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7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1</w:t>
            </w:r>
          </w:p>
        </w:tc>
        <w:tc>
          <w:tcPr>
            <w:tcW w:w="11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大电网运行关键指标体系建设项目</w:t>
            </w:r>
          </w:p>
        </w:tc>
        <w:tc>
          <w:tcPr>
            <w:tcW w:w="19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系统软件研发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250000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3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80000</w:t>
            </w:r>
          </w:p>
        </w:tc>
        <w:tc>
          <w:tcPr>
            <w:tcW w:w="5358" w:type="dxa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1.供应商须具有一般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24"/>
                <w:szCs w:val="21"/>
              </w:rPr>
              <w:t>纳税人资格；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24"/>
                <w:szCs w:val="21"/>
              </w:rPr>
              <w:t>.供应商须近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24"/>
                <w:szCs w:val="21"/>
              </w:rPr>
              <w:t>年（</w:t>
            </w:r>
            <w:r>
              <w:rPr>
                <w:rFonts w:hint="eastAsia" w:ascii="宋体" w:hAnsi="宋体" w:cs="宋体"/>
                <w:szCs w:val="21"/>
              </w:rPr>
              <w:t>201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 xml:space="preserve"> 年 1月1日</w:t>
            </w:r>
            <w:r>
              <w:rPr>
                <w:rFonts w:hint="eastAsia" w:ascii="宋体" w:hAnsi="宋体" w:cs="宋体"/>
                <w:kern w:val="24"/>
                <w:szCs w:val="21"/>
              </w:rPr>
              <w:t>至今）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cs="宋体"/>
                <w:kern w:val="24"/>
                <w:szCs w:val="21"/>
              </w:rPr>
              <w:t>参与建设省级及以上电网调度高级应用或大电网指标类相关系统</w:t>
            </w: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业绩</w:t>
            </w:r>
            <w:r>
              <w:rPr>
                <w:rFonts w:hint="eastAsia" w:ascii="宋体" w:hAnsi="宋体" w:cs="宋体"/>
                <w:kern w:val="24"/>
                <w:szCs w:val="21"/>
              </w:rPr>
              <w:t>不少于3项（提供合同扫描件及配套发票扫描件</w:t>
            </w:r>
            <w:r>
              <w:rPr>
                <w:rFonts w:hint="eastAsia" w:ascii="宋体" w:hAnsi="宋体" w:cs="宋体"/>
                <w:kern w:val="24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szCs w:val="21"/>
              </w:rPr>
              <w:t>提供合同及配套发票扫描件，合同内容至少包含合同封面、体现内容页、日期页及签字盖章页等关键页</w:t>
            </w:r>
            <w:r>
              <w:rPr>
                <w:rFonts w:hint="eastAsia" w:ascii="宋体" w:hAnsi="宋体" w:cs="宋体"/>
                <w:b w:val="0"/>
                <w:bCs/>
                <w:kern w:val="24"/>
                <w:szCs w:val="21"/>
              </w:rPr>
              <w:t>）</w:t>
            </w:r>
            <w:r>
              <w:rPr>
                <w:rFonts w:hint="eastAsia" w:ascii="宋体" w:hAnsi="宋体" w:cs="宋体"/>
                <w:kern w:val="24"/>
                <w:szCs w:val="21"/>
              </w:rPr>
              <w:t>；</w:t>
            </w:r>
          </w:p>
        </w:tc>
        <w:tc>
          <w:tcPr>
            <w:tcW w:w="13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  <w:r>
              <w:rPr>
                <w:rFonts w:hint="eastAsia" w:ascii="宋体" w:hAnsi="宋体" w:cs="宋体"/>
                <w:kern w:val="24"/>
                <w:szCs w:val="21"/>
              </w:rPr>
              <w:t>合同</w:t>
            </w:r>
            <w:r>
              <w:rPr>
                <w:rFonts w:ascii="宋体" w:hAnsi="宋体" w:cs="宋体"/>
                <w:kern w:val="24"/>
                <w:szCs w:val="21"/>
              </w:rPr>
              <w:t>签订后</w:t>
            </w:r>
            <w:r>
              <w:rPr>
                <w:rFonts w:hint="eastAsia" w:ascii="宋体" w:hAnsi="宋体" w:cs="宋体"/>
                <w:kern w:val="24"/>
                <w:szCs w:val="21"/>
              </w:rPr>
              <w:t>至</w:t>
            </w:r>
            <w:r>
              <w:rPr>
                <w:rFonts w:ascii="宋体" w:hAnsi="宋体" w:cs="宋体"/>
                <w:kern w:val="24"/>
                <w:szCs w:val="21"/>
              </w:rPr>
              <w:t>2022年</w:t>
            </w:r>
            <w:r>
              <w:rPr>
                <w:rFonts w:hint="eastAsia" w:ascii="宋体" w:hAnsi="宋体" w:cs="宋体"/>
                <w:kern w:val="24"/>
                <w:szCs w:val="21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71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1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9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电网调控运行指标及评估策略研究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4"/>
                <w:szCs w:val="21"/>
                <w:lang w:val="en-US" w:eastAsia="zh-CN"/>
              </w:rPr>
              <w:t>130000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5358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24"/>
                <w:szCs w:val="21"/>
              </w:rPr>
            </w:pPr>
          </w:p>
        </w:tc>
        <w:tc>
          <w:tcPr>
            <w:tcW w:w="13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24"/>
                <w:szCs w:val="21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VRXMxAgAAZA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bVUVzMQIAAGQ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2651A"/>
    <w:rsid w:val="4C143389"/>
    <w:rsid w:val="6931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tabs>
        <w:tab w:val="left" w:pos="432"/>
        <w:tab w:val="center" w:pos="4156"/>
      </w:tabs>
      <w:spacing w:before="340" w:after="330" w:line="578" w:lineRule="auto"/>
      <w:jc w:val="center"/>
      <w:outlineLvl w:val="0"/>
    </w:pPr>
    <w:rPr>
      <w:rFonts w:ascii="黑体" w:eastAsia="黑体"/>
      <w:b/>
      <w:kern w:val="0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ind w:firstLine="200" w:firstLineChars="200"/>
      <w:jc w:val="left"/>
    </w:pPr>
    <w:rPr>
      <w:rFonts w:eastAsia="华文仿宋"/>
      <w:kern w:val="0"/>
      <w:sz w:val="18"/>
      <w:szCs w:val="20"/>
    </w:rPr>
  </w:style>
  <w:style w:type="paragraph" w:styleId="6">
    <w:name w:val="Body Text"/>
    <w:basedOn w:val="1"/>
    <w:qFormat/>
    <w:uiPriority w:val="0"/>
    <w:rPr>
      <w:rFonts w:ascii="宋体" w:hAnsi="宋体"/>
      <w:kern w:val="0"/>
      <w:sz w:val="28"/>
    </w:rPr>
  </w:style>
  <w:style w:type="paragraph" w:styleId="7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9">
    <w:name w:val="Table Grid"/>
    <w:basedOn w:val="8"/>
    <w:unhideWhenUsed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1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附录表标题"/>
    <w:basedOn w:val="13"/>
    <w:next w:val="11"/>
    <w:qFormat/>
    <w:uiPriority w:val="0"/>
    <w:pPr>
      <w:tabs>
        <w:tab w:val="left" w:pos="210"/>
        <w:tab w:val="left" w:pos="420"/>
        <w:tab w:val="left" w:pos="2040"/>
      </w:tabs>
      <w:ind w:left="2040" w:hanging="360"/>
    </w:pPr>
    <w:rPr>
      <w:kern w:val="21"/>
    </w:rPr>
  </w:style>
  <w:style w:type="paragraph" w:customStyle="1" w:styleId="13">
    <w:name w:val="正文表标题"/>
    <w:next w:val="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314</Characters>
  <Lines>0</Lines>
  <Paragraphs>0</Paragraphs>
  <TotalTime>0</TotalTime>
  <ScaleCrop>false</ScaleCrop>
  <LinksUpToDate>false</LinksUpToDate>
  <CharactersWithSpaces>316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2022-03-08T03:02:00Z</dcterms:created>
  <dc:creator>nmgys</dc:creator>
  <cp:lastModifiedBy>高云波</cp:lastModifiedBy>
  <dcterms:modified xsi:type="dcterms:W3CDTF">2022-04-08T01:17:10Z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AB1F8F9C720342FD9B1F10DAA3A491D6</vt:lpwstr>
  </property>
</Properties>
</file>